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FF92EF">
      <w:pPr>
        <w:keepNext w:val="0"/>
        <w:keepLines w:val="0"/>
        <w:widowControl/>
        <w:suppressLineNumbers w:val="0"/>
        <w:pBdr>
          <w:top w:val="none" w:color="auto" w:sz="0" w:space="0"/>
          <w:bottom w:val="none" w:color="auto" w:sz="0" w:space="0"/>
        </w:pBdr>
        <w:shd w:val="clear" w:fill="FFFFFF"/>
        <w:bidi w:val="0"/>
        <w:spacing w:before="0" w:beforeAutospacing="0" w:after="0" w:afterAutospacing="0"/>
        <w:ind w:left="0" w:right="0" w:firstLine="0"/>
        <w:jc w:val="left"/>
        <w:rPr>
          <w:rFonts w:hint="eastAsia" w:ascii="黑体" w:hAnsi="黑体" w:eastAsia="黑体" w:cs="黑体"/>
          <w:i w:val="0"/>
          <w:iCs w:val="0"/>
          <w:caps w:val="0"/>
          <w:color w:val="1C1F23"/>
          <w:spacing w:val="0"/>
          <w:sz w:val="28"/>
          <w:szCs w:val="28"/>
        </w:rPr>
      </w:pPr>
      <w:bookmarkStart w:id="0" w:name="_GoBack"/>
      <w:r>
        <w:rPr>
          <w:rFonts w:hint="eastAsia" w:ascii="黑体" w:hAnsi="黑体" w:eastAsia="黑体" w:cs="黑体"/>
          <w:i w:val="0"/>
          <w:iCs w:val="0"/>
          <w:caps w:val="0"/>
          <w:color w:val="1C1F23"/>
          <w:spacing w:val="0"/>
          <w:kern w:val="0"/>
          <w:sz w:val="28"/>
          <w:szCs w:val="28"/>
          <w:shd w:val="clear" w:fill="FFFFFF"/>
          <w:lang w:val="en-US" w:eastAsia="zh-CN" w:bidi="ar"/>
        </w:rPr>
        <w:t>Description</w:t>
      </w:r>
      <w:r>
        <w:rPr>
          <w:rFonts w:hint="eastAsia" w:ascii="黑体" w:hAnsi="黑体" w:eastAsia="黑体" w:cs="黑体"/>
          <w:i w:val="0"/>
          <w:iCs w:val="0"/>
          <w:caps w:val="0"/>
          <w:color w:val="1C1F23"/>
          <w:spacing w:val="0"/>
          <w:kern w:val="0"/>
          <w:sz w:val="28"/>
          <w:szCs w:val="28"/>
          <w:shd w:val="clear" w:fill="FFFFFF"/>
          <w:lang w:val="en-US" w:eastAsia="zh-CN" w:bidi="ar"/>
        </w:rPr>
        <w:br w:type="textWrapping"/>
      </w:r>
      <w:r>
        <w:rPr>
          <w:rFonts w:hint="eastAsia" w:ascii="黑体" w:hAnsi="黑体" w:eastAsia="黑体" w:cs="黑体"/>
          <w:i w:val="0"/>
          <w:iCs w:val="0"/>
          <w:caps w:val="0"/>
          <w:color w:val="1C1F23"/>
          <w:spacing w:val="0"/>
          <w:kern w:val="0"/>
          <w:sz w:val="28"/>
          <w:szCs w:val="28"/>
          <w:shd w:val="clear" w:fill="FFFFFF"/>
          <w:lang w:val="en-US" w:eastAsia="zh-CN" w:bidi="ar"/>
        </w:rPr>
        <w:t>The iron core of a diesel generator is the core electromagnetic component, composed of laminated high-permeability silicon steel sheets, undertaking the critical roles of magnetic field conduction and energy conversion. Its design directly influences power generation efficiency, temperature rise, and noise level. Modern iron cores adopt laser cutting or etching processes to ensure lamination precision, reduce eddy current loss and hysteresis loss, and enhance overall energy efficiency. The iron core must feature high magnetic permeability, low iron loss, and anti-saturation properties to adapt to the high-torque working conditions of diesel engines.</w:t>
      </w:r>
    </w:p>
    <w:p w14:paraId="6CFF8D46">
      <w:pPr>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ind w:left="0" w:right="0" w:firstLine="0"/>
        <w:jc w:val="left"/>
        <w:rPr>
          <w:rFonts w:hint="eastAsia" w:ascii="黑体" w:hAnsi="黑体" w:eastAsia="黑体" w:cs="黑体"/>
          <w:i w:val="0"/>
          <w:iCs w:val="0"/>
          <w:caps w:val="0"/>
          <w:color w:val="1C1F23"/>
          <w:spacing w:val="0"/>
          <w:sz w:val="28"/>
          <w:szCs w:val="28"/>
        </w:rPr>
      </w:pPr>
    </w:p>
    <w:p w14:paraId="5EB6406C">
      <w:pPr>
        <w:keepNext w:val="0"/>
        <w:keepLines w:val="0"/>
        <w:widowControl/>
        <w:suppressLineNumbers w:val="0"/>
        <w:pBdr>
          <w:top w:val="none" w:color="auto" w:sz="0" w:space="0"/>
          <w:bottom w:val="none" w:color="auto" w:sz="0" w:space="0"/>
        </w:pBdr>
        <w:shd w:val="clear" w:fill="FFFFFF"/>
        <w:bidi w:val="0"/>
        <w:spacing w:before="180" w:beforeAutospacing="0" w:after="0" w:afterAutospacing="0"/>
        <w:ind w:left="0" w:right="0" w:firstLine="0"/>
        <w:jc w:val="left"/>
        <w:rPr>
          <w:rFonts w:hint="eastAsia" w:ascii="黑体" w:hAnsi="黑体" w:eastAsia="黑体" w:cs="黑体"/>
          <w:i w:val="0"/>
          <w:iCs w:val="0"/>
          <w:caps w:val="0"/>
          <w:color w:val="1C1F23"/>
          <w:spacing w:val="0"/>
          <w:sz w:val="28"/>
          <w:szCs w:val="28"/>
        </w:rPr>
      </w:pPr>
      <w:r>
        <w:rPr>
          <w:rFonts w:hint="eastAsia" w:ascii="黑体" w:hAnsi="黑体" w:eastAsia="黑体" w:cs="黑体"/>
          <w:i w:val="0"/>
          <w:iCs w:val="0"/>
          <w:caps w:val="0"/>
          <w:color w:val="1C1F23"/>
          <w:spacing w:val="0"/>
          <w:kern w:val="0"/>
          <w:sz w:val="28"/>
          <w:szCs w:val="28"/>
          <w:shd w:val="clear" w:fill="FFFFFF"/>
          <w:lang w:val="en-US" w:eastAsia="zh-CN" w:bidi="ar"/>
        </w:rPr>
        <w:t>Working Principle</w:t>
      </w:r>
    </w:p>
    <w:p w14:paraId="5A51955F">
      <w:pPr>
        <w:keepNext w:val="0"/>
        <w:keepLines w:val="0"/>
        <w:widowControl/>
        <w:suppressLineNumbers w:val="0"/>
        <w:spacing w:before="180" w:beforeAutospacing="0" w:after="0" w:afterAutospacing="0"/>
        <w:ind w:left="0" w:right="0"/>
        <w:jc w:val="left"/>
        <w:rPr>
          <w:rFonts w:hint="eastAsia" w:ascii="黑体" w:hAnsi="黑体" w:eastAsia="黑体" w:cs="黑体"/>
          <w:sz w:val="28"/>
          <w:szCs w:val="28"/>
        </w:rPr>
      </w:pPr>
    </w:p>
    <w:p w14:paraId="0101B8C6">
      <w:pPr>
        <w:keepNext w:val="0"/>
        <w:keepLines w:val="0"/>
        <w:widowControl/>
        <w:numPr>
          <w:ilvl w:val="0"/>
          <w:numId w:val="1"/>
        </w:numPr>
        <w:suppressLineNumbers w:val="0"/>
        <w:pBdr>
          <w:left w:val="none" w:color="auto" w:sz="0" w:space="0"/>
        </w:pBdr>
        <w:spacing w:before="180" w:beforeAutospacing="0" w:after="0" w:afterAutospacing="0"/>
        <w:ind w:left="720" w:right="0" w:hanging="360"/>
        <w:rPr>
          <w:rFonts w:hint="eastAsia" w:ascii="黑体" w:hAnsi="黑体" w:eastAsia="黑体" w:cs="黑体"/>
          <w:sz w:val="28"/>
          <w:szCs w:val="28"/>
        </w:rPr>
      </w:pPr>
      <w:r>
        <w:rPr>
          <w:rFonts w:hint="eastAsia" w:ascii="黑体" w:hAnsi="黑体" w:eastAsia="黑体" w:cs="黑体"/>
          <w:i w:val="0"/>
          <w:iCs w:val="0"/>
          <w:caps w:val="0"/>
          <w:color w:val="1C1F23"/>
          <w:spacing w:val="0"/>
          <w:sz w:val="28"/>
          <w:szCs w:val="28"/>
          <w:shd w:val="clear" w:fill="FFFFFF"/>
        </w:rPr>
        <w:t>Electromagnetic Induction: The diesel engine drives the rotor to rotate, generating an alternating magnetic field within the iron core.</w:t>
      </w:r>
    </w:p>
    <w:p w14:paraId="0DD0400D">
      <w:pPr>
        <w:keepNext w:val="0"/>
        <w:keepLines w:val="0"/>
        <w:widowControl/>
        <w:numPr>
          <w:ilvl w:val="0"/>
          <w:numId w:val="1"/>
        </w:numPr>
        <w:suppressLineNumbers w:val="0"/>
        <w:pBdr>
          <w:left w:val="none" w:color="auto" w:sz="0" w:space="0"/>
        </w:pBdr>
        <w:spacing w:before="180" w:beforeAutospacing="0" w:after="0" w:afterAutospacing="0"/>
        <w:ind w:left="720" w:right="0" w:hanging="360"/>
        <w:rPr>
          <w:rFonts w:hint="eastAsia" w:ascii="黑体" w:hAnsi="黑体" w:eastAsia="黑体" w:cs="黑体"/>
          <w:sz w:val="28"/>
          <w:szCs w:val="28"/>
        </w:rPr>
      </w:pPr>
      <w:r>
        <w:rPr>
          <w:rFonts w:hint="eastAsia" w:ascii="黑体" w:hAnsi="黑体" w:eastAsia="黑体" w:cs="黑体"/>
          <w:i w:val="0"/>
          <w:iCs w:val="0"/>
          <w:caps w:val="0"/>
          <w:color w:val="1C1F23"/>
          <w:spacing w:val="0"/>
          <w:sz w:val="28"/>
          <w:szCs w:val="28"/>
          <w:shd w:val="clear" w:fill="FFFFFF"/>
        </w:rPr>
        <w:t>Magnetic Circuit Closure: The iron core forms a closed magnetic circuit, concentrating magnetic field energy and cutting the stator windings.</w:t>
      </w:r>
    </w:p>
    <w:p w14:paraId="11810773">
      <w:pPr>
        <w:keepNext w:val="0"/>
        <w:keepLines w:val="0"/>
        <w:widowControl/>
        <w:numPr>
          <w:ilvl w:val="0"/>
          <w:numId w:val="1"/>
        </w:numPr>
        <w:suppressLineNumbers w:val="0"/>
        <w:pBdr>
          <w:left w:val="none" w:color="auto" w:sz="0" w:space="0"/>
        </w:pBdr>
        <w:spacing w:before="180" w:beforeAutospacing="0" w:after="0" w:afterAutospacing="0"/>
        <w:ind w:left="720" w:right="0" w:hanging="360"/>
        <w:rPr>
          <w:rFonts w:hint="eastAsia" w:ascii="黑体" w:hAnsi="黑体" w:eastAsia="黑体" w:cs="黑体"/>
          <w:sz w:val="28"/>
          <w:szCs w:val="28"/>
        </w:rPr>
      </w:pPr>
      <w:r>
        <w:rPr>
          <w:rFonts w:hint="eastAsia" w:ascii="黑体" w:hAnsi="黑体" w:eastAsia="黑体" w:cs="黑体"/>
          <w:i w:val="0"/>
          <w:iCs w:val="0"/>
          <w:caps w:val="0"/>
          <w:color w:val="1C1F23"/>
          <w:spacing w:val="0"/>
          <w:sz w:val="28"/>
          <w:szCs w:val="28"/>
          <w:shd w:val="clear" w:fill="FFFFFF"/>
        </w:rPr>
        <w:t>Electric Energy Generation: Magnetic field changes induce current in the windings, converting mechanical energy into electrical energy.</w:t>
      </w:r>
      <w:r>
        <w:rPr>
          <w:rFonts w:hint="eastAsia" w:ascii="黑体" w:hAnsi="黑体" w:eastAsia="黑体" w:cs="黑体"/>
          <w:i w:val="0"/>
          <w:iCs w:val="0"/>
          <w:caps w:val="0"/>
          <w:color w:val="1C1F23"/>
          <w:spacing w:val="0"/>
          <w:sz w:val="28"/>
          <w:szCs w:val="28"/>
          <w:shd w:val="clear" w:fill="FFFFFF"/>
        </w:rPr>
        <w:br w:type="textWrapping"/>
      </w:r>
      <w:r>
        <w:rPr>
          <w:rFonts w:hint="eastAsia" w:ascii="黑体" w:hAnsi="黑体" w:eastAsia="黑体" w:cs="黑体"/>
          <w:i w:val="0"/>
          <w:iCs w:val="0"/>
          <w:caps w:val="0"/>
          <w:color w:val="1C1F23"/>
          <w:spacing w:val="0"/>
          <w:sz w:val="28"/>
          <w:szCs w:val="28"/>
          <w:shd w:val="clear" w:fill="FFFFFF"/>
        </w:rPr>
        <w:t>The low-loss design of the iron core (&lt;1.5W/kg) ensures an energy conversion efficiency of over 95%.</w:t>
      </w:r>
    </w:p>
    <w:p w14:paraId="4D11E3B2">
      <w:pPr>
        <w:keepNext w:val="0"/>
        <w:keepLines w:val="0"/>
        <w:widowControl/>
        <w:suppressLineNumbers w:val="0"/>
        <w:pBdr>
          <w:top w:val="none" w:color="auto" w:sz="0" w:space="0"/>
          <w:bottom w:val="none" w:color="auto" w:sz="0" w:space="0"/>
        </w:pBdr>
        <w:shd w:val="clear" w:fill="FFFFFF"/>
        <w:bidi w:val="0"/>
        <w:spacing w:before="180" w:beforeAutospacing="0" w:after="0" w:afterAutospacing="0"/>
        <w:ind w:left="0" w:right="0" w:firstLine="0"/>
        <w:jc w:val="left"/>
        <w:rPr>
          <w:rFonts w:hint="eastAsia" w:ascii="黑体" w:hAnsi="黑体" w:eastAsia="黑体" w:cs="黑体"/>
          <w:sz w:val="28"/>
          <w:szCs w:val="28"/>
        </w:rPr>
      </w:pPr>
      <w:r>
        <w:rPr>
          <w:rFonts w:hint="eastAsia" w:ascii="黑体" w:hAnsi="黑体" w:eastAsia="黑体" w:cs="黑体"/>
          <w:i w:val="0"/>
          <w:iCs w:val="0"/>
          <w:caps w:val="0"/>
          <w:color w:val="1C1F23"/>
          <w:spacing w:val="0"/>
          <w:kern w:val="0"/>
          <w:sz w:val="28"/>
          <w:szCs w:val="28"/>
          <w:shd w:val="clear" w:fill="FFFFFF"/>
          <w:lang w:val="en-US" w:eastAsia="zh-CN" w:bidi="ar"/>
        </w:rPr>
        <w:t>Main Applications</w:t>
      </w:r>
    </w:p>
    <w:p w14:paraId="1574DFDC">
      <w:pPr>
        <w:keepNext w:val="0"/>
        <w:keepLines w:val="0"/>
        <w:widowControl/>
        <w:numPr>
          <w:ilvl w:val="0"/>
          <w:numId w:val="2"/>
        </w:numPr>
        <w:suppressLineNumbers w:val="0"/>
        <w:pBdr>
          <w:left w:val="none" w:color="auto" w:sz="0" w:space="0"/>
        </w:pBdr>
        <w:spacing w:before="180" w:beforeAutospacing="0" w:after="0" w:afterAutospacing="0"/>
        <w:ind w:left="720" w:right="0" w:hanging="360"/>
        <w:rPr>
          <w:rFonts w:hint="eastAsia" w:ascii="黑体" w:hAnsi="黑体" w:eastAsia="黑体" w:cs="黑体"/>
          <w:sz w:val="28"/>
          <w:szCs w:val="28"/>
        </w:rPr>
      </w:pPr>
      <w:r>
        <w:rPr>
          <w:rFonts w:hint="eastAsia" w:ascii="黑体" w:hAnsi="黑体" w:eastAsia="黑体" w:cs="黑体"/>
          <w:i w:val="0"/>
          <w:iCs w:val="0"/>
          <w:caps w:val="0"/>
          <w:color w:val="1C1F23"/>
          <w:spacing w:val="0"/>
          <w:sz w:val="28"/>
          <w:szCs w:val="28"/>
          <w:shd w:val="clear" w:fill="FFFFFF"/>
        </w:rPr>
        <w:t>Industrial Power Supply: Backup power for factories and mines to ensure continuous production.</w:t>
      </w:r>
    </w:p>
    <w:p w14:paraId="7AC55F2F">
      <w:pPr>
        <w:keepNext w:val="0"/>
        <w:keepLines w:val="0"/>
        <w:widowControl/>
        <w:numPr>
          <w:ilvl w:val="0"/>
          <w:numId w:val="2"/>
        </w:numPr>
        <w:suppressLineNumbers w:val="0"/>
        <w:pBdr>
          <w:left w:val="none" w:color="auto" w:sz="0" w:space="0"/>
        </w:pBdr>
        <w:spacing w:before="180" w:beforeAutospacing="0" w:after="0" w:afterAutospacing="0"/>
        <w:ind w:left="720" w:right="0" w:hanging="360"/>
        <w:rPr>
          <w:rFonts w:hint="eastAsia" w:ascii="黑体" w:hAnsi="黑体" w:eastAsia="黑体" w:cs="黑体"/>
          <w:sz w:val="28"/>
          <w:szCs w:val="28"/>
        </w:rPr>
      </w:pPr>
      <w:r>
        <w:rPr>
          <w:rFonts w:hint="eastAsia" w:ascii="黑体" w:hAnsi="黑体" w:eastAsia="黑体" w:cs="黑体"/>
          <w:i w:val="0"/>
          <w:iCs w:val="0"/>
          <w:caps w:val="0"/>
          <w:color w:val="1C1F23"/>
          <w:spacing w:val="0"/>
          <w:sz w:val="28"/>
          <w:szCs w:val="28"/>
          <w:shd w:val="clear" w:fill="FFFFFF"/>
        </w:rPr>
        <w:t>Emergency Power: Uninterruptible power systems (UPS) for hospitals and data centers.</w:t>
      </w:r>
    </w:p>
    <w:p w14:paraId="16A5A54B">
      <w:pPr>
        <w:keepNext w:val="0"/>
        <w:keepLines w:val="0"/>
        <w:widowControl/>
        <w:numPr>
          <w:ilvl w:val="0"/>
          <w:numId w:val="2"/>
        </w:numPr>
        <w:suppressLineNumbers w:val="0"/>
        <w:pBdr>
          <w:left w:val="none" w:color="auto" w:sz="0" w:space="0"/>
        </w:pBdr>
        <w:spacing w:before="180" w:beforeAutospacing="0" w:after="0" w:afterAutospacing="0"/>
        <w:ind w:left="720" w:right="0" w:hanging="360"/>
        <w:rPr>
          <w:rFonts w:hint="eastAsia" w:ascii="黑体" w:hAnsi="黑体" w:eastAsia="黑体" w:cs="黑体"/>
          <w:sz w:val="28"/>
          <w:szCs w:val="28"/>
        </w:rPr>
      </w:pPr>
      <w:r>
        <w:rPr>
          <w:rFonts w:hint="eastAsia" w:ascii="黑体" w:hAnsi="黑体" w:eastAsia="黑体" w:cs="黑体"/>
          <w:i w:val="0"/>
          <w:iCs w:val="0"/>
          <w:caps w:val="0"/>
          <w:color w:val="1C1F23"/>
          <w:spacing w:val="0"/>
          <w:sz w:val="28"/>
          <w:szCs w:val="28"/>
          <w:shd w:val="clear" w:fill="FFFFFF"/>
        </w:rPr>
        <w:t>Mobile Equipment: Power cores for ships and engineering vehicles.</w:t>
      </w:r>
    </w:p>
    <w:p w14:paraId="7D8F1CC0">
      <w:pPr>
        <w:keepNext w:val="0"/>
        <w:keepLines w:val="0"/>
        <w:widowControl/>
        <w:numPr>
          <w:ilvl w:val="0"/>
          <w:numId w:val="2"/>
        </w:numPr>
        <w:suppressLineNumbers w:val="0"/>
        <w:pBdr>
          <w:left w:val="none" w:color="auto" w:sz="0" w:space="0"/>
        </w:pBdr>
        <w:spacing w:before="180" w:beforeAutospacing="0" w:after="0" w:afterAutospacing="0"/>
        <w:ind w:left="720" w:right="0" w:hanging="360"/>
        <w:rPr>
          <w:rFonts w:hint="eastAsia" w:ascii="黑体" w:hAnsi="黑体" w:eastAsia="黑体" w:cs="黑体"/>
          <w:sz w:val="28"/>
          <w:szCs w:val="28"/>
        </w:rPr>
      </w:pPr>
      <w:r>
        <w:rPr>
          <w:rFonts w:hint="eastAsia" w:ascii="黑体" w:hAnsi="黑体" w:eastAsia="黑体" w:cs="黑体"/>
          <w:i w:val="0"/>
          <w:iCs w:val="0"/>
          <w:caps w:val="0"/>
          <w:color w:val="1C1F23"/>
          <w:spacing w:val="0"/>
          <w:sz w:val="28"/>
          <w:szCs w:val="28"/>
          <w:shd w:val="clear" w:fill="FFFFFF"/>
        </w:rPr>
        <w:t>New Energy Complementation: Combined with solar/wind energy to form hybrid power supply systems.</w:t>
      </w:r>
    </w:p>
    <w:p w14:paraId="2EC07162">
      <w:pPr>
        <w:keepNext w:val="0"/>
        <w:keepLines w:val="0"/>
        <w:widowControl/>
        <w:suppressLineNumbers w:val="0"/>
        <w:pBdr>
          <w:top w:val="none" w:color="auto" w:sz="0" w:space="0"/>
          <w:bottom w:val="none" w:color="auto" w:sz="0" w:space="0"/>
        </w:pBdr>
        <w:shd w:val="clear" w:fill="FFFFFF"/>
        <w:bidi w:val="0"/>
        <w:spacing w:before="180" w:beforeAutospacing="0" w:after="0" w:afterAutospacing="0"/>
        <w:ind w:left="0" w:right="0" w:firstLine="0"/>
        <w:jc w:val="left"/>
        <w:rPr>
          <w:rFonts w:hint="eastAsia" w:ascii="黑体" w:hAnsi="黑体" w:eastAsia="黑体" w:cs="黑体"/>
          <w:sz w:val="28"/>
          <w:szCs w:val="28"/>
        </w:rPr>
      </w:pPr>
      <w:r>
        <w:rPr>
          <w:rFonts w:hint="eastAsia" w:ascii="黑体" w:hAnsi="黑体" w:eastAsia="黑体" w:cs="黑体"/>
          <w:i w:val="0"/>
          <w:iCs w:val="0"/>
          <w:caps w:val="0"/>
          <w:color w:val="1C1F23"/>
          <w:spacing w:val="0"/>
          <w:kern w:val="0"/>
          <w:sz w:val="28"/>
          <w:szCs w:val="28"/>
          <w:shd w:val="clear" w:fill="FFFFFF"/>
          <w:lang w:val="en-US" w:eastAsia="zh-CN" w:bidi="ar"/>
        </w:rPr>
        <w:t>Specification Parameters Table</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15" w:type="dxa"/>
          <w:left w:w="15" w:type="dxa"/>
          <w:bottom w:w="15" w:type="dxa"/>
          <w:right w:w="15" w:type="dxa"/>
        </w:tblCellMar>
      </w:tblPr>
      <w:tblGrid>
        <w:gridCol w:w="3523"/>
        <w:gridCol w:w="5237"/>
        <w:gridCol w:w="5738"/>
      </w:tblGrid>
      <w:tr w14:paraId="372DC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blHeader/>
        </w:trPr>
        <w:tc>
          <w:tcPr>
            <w:tcW w:w="0" w:type="auto"/>
            <w:shd w:val="clear" w:color="auto" w:fill="auto"/>
            <w:tcMar>
              <w:top w:w="180" w:type="dxa"/>
              <w:left w:w="270" w:type="dxa"/>
              <w:bottom w:w="180" w:type="dxa"/>
              <w:right w:w="270" w:type="dxa"/>
            </w:tcMar>
            <w:vAlign w:val="center"/>
          </w:tcPr>
          <w:p w14:paraId="12C91FE7">
            <w:pPr>
              <w:keepNext w:val="0"/>
              <w:keepLines w:val="0"/>
              <w:widowControl/>
              <w:suppressLineNumbers w:val="0"/>
              <w:bidi w:val="0"/>
              <w:jc w:val="center"/>
              <w:rPr>
                <w:rFonts w:hint="eastAsia" w:ascii="黑体" w:hAnsi="黑体" w:eastAsia="黑体" w:cs="黑体"/>
                <w:b/>
                <w:bCs/>
                <w:sz w:val="28"/>
                <w:szCs w:val="28"/>
              </w:rPr>
            </w:pPr>
            <w:r>
              <w:rPr>
                <w:rFonts w:hint="eastAsia" w:ascii="黑体" w:hAnsi="黑体" w:eastAsia="黑体" w:cs="黑体"/>
                <w:b/>
                <w:bCs/>
                <w:kern w:val="0"/>
                <w:sz w:val="28"/>
                <w:szCs w:val="28"/>
                <w:lang w:val="en-US" w:eastAsia="zh-CN" w:bidi="ar"/>
              </w:rPr>
              <w:t>Parameter</w:t>
            </w:r>
          </w:p>
        </w:tc>
        <w:tc>
          <w:tcPr>
            <w:tcW w:w="0" w:type="auto"/>
            <w:shd w:val="clear" w:color="auto" w:fill="auto"/>
            <w:tcMar>
              <w:top w:w="180" w:type="dxa"/>
              <w:left w:w="270" w:type="dxa"/>
              <w:bottom w:w="180" w:type="dxa"/>
              <w:right w:w="270" w:type="dxa"/>
            </w:tcMar>
            <w:vAlign w:val="center"/>
          </w:tcPr>
          <w:p w14:paraId="20EC996E">
            <w:pPr>
              <w:keepNext w:val="0"/>
              <w:keepLines w:val="0"/>
              <w:widowControl/>
              <w:suppressLineNumbers w:val="0"/>
              <w:bidi w:val="0"/>
              <w:jc w:val="center"/>
              <w:rPr>
                <w:rFonts w:hint="eastAsia" w:ascii="黑体" w:hAnsi="黑体" w:eastAsia="黑体" w:cs="黑体"/>
                <w:b/>
                <w:bCs/>
                <w:sz w:val="28"/>
                <w:szCs w:val="28"/>
              </w:rPr>
            </w:pPr>
            <w:r>
              <w:rPr>
                <w:rFonts w:hint="eastAsia" w:ascii="黑体" w:hAnsi="黑体" w:eastAsia="黑体" w:cs="黑体"/>
                <w:b/>
                <w:bCs/>
                <w:kern w:val="0"/>
                <w:sz w:val="28"/>
                <w:szCs w:val="28"/>
                <w:lang w:val="en-US" w:eastAsia="zh-CN" w:bidi="ar"/>
              </w:rPr>
              <w:t>Standard Value</w:t>
            </w:r>
          </w:p>
        </w:tc>
        <w:tc>
          <w:tcPr>
            <w:tcW w:w="0" w:type="auto"/>
            <w:shd w:val="clear" w:color="auto" w:fill="auto"/>
            <w:tcMar>
              <w:top w:w="180" w:type="dxa"/>
              <w:left w:w="270" w:type="dxa"/>
              <w:bottom w:w="180" w:type="dxa"/>
              <w:right w:w="270" w:type="dxa"/>
            </w:tcMar>
            <w:vAlign w:val="center"/>
          </w:tcPr>
          <w:p w14:paraId="7AEC8972">
            <w:pPr>
              <w:keepNext w:val="0"/>
              <w:keepLines w:val="0"/>
              <w:widowControl/>
              <w:suppressLineNumbers w:val="0"/>
              <w:bidi w:val="0"/>
              <w:jc w:val="center"/>
              <w:rPr>
                <w:rFonts w:hint="eastAsia" w:ascii="黑体" w:hAnsi="黑体" w:eastAsia="黑体" w:cs="黑体"/>
                <w:b/>
                <w:bCs/>
                <w:sz w:val="28"/>
                <w:szCs w:val="28"/>
              </w:rPr>
            </w:pPr>
            <w:r>
              <w:rPr>
                <w:rFonts w:hint="eastAsia" w:ascii="黑体" w:hAnsi="黑体" w:eastAsia="黑体" w:cs="黑体"/>
                <w:b/>
                <w:bCs/>
                <w:kern w:val="0"/>
                <w:sz w:val="28"/>
                <w:szCs w:val="28"/>
                <w:lang w:val="en-US" w:eastAsia="zh-CN" w:bidi="ar"/>
              </w:rPr>
              <w:t>Remarks</w:t>
            </w:r>
          </w:p>
        </w:tc>
      </w:tr>
      <w:tr w14:paraId="09747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0" w:type="auto"/>
            <w:shd w:val="clear" w:color="auto" w:fill="auto"/>
            <w:tcMar>
              <w:top w:w="180" w:type="dxa"/>
              <w:left w:w="270" w:type="dxa"/>
              <w:bottom w:w="180" w:type="dxa"/>
              <w:right w:w="270" w:type="dxa"/>
            </w:tcMar>
            <w:vAlign w:val="center"/>
          </w:tcPr>
          <w:p w14:paraId="3BC11E78">
            <w:pPr>
              <w:keepNext w:val="0"/>
              <w:keepLines w:val="0"/>
              <w:widowControl/>
              <w:suppressLineNumbers w:val="0"/>
              <w:bidi w:val="0"/>
              <w:jc w:val="left"/>
              <w:rPr>
                <w:rFonts w:hint="eastAsia" w:ascii="黑体" w:hAnsi="黑体" w:eastAsia="黑体" w:cs="黑体"/>
                <w:sz w:val="28"/>
                <w:szCs w:val="28"/>
              </w:rPr>
            </w:pPr>
            <w:r>
              <w:rPr>
                <w:rFonts w:hint="eastAsia" w:ascii="黑体" w:hAnsi="黑体" w:eastAsia="黑体" w:cs="黑体"/>
                <w:kern w:val="0"/>
                <w:sz w:val="28"/>
                <w:szCs w:val="28"/>
                <w:lang w:val="en-US" w:eastAsia="zh-CN" w:bidi="ar"/>
              </w:rPr>
              <w:t>Material</w:t>
            </w:r>
          </w:p>
        </w:tc>
        <w:tc>
          <w:tcPr>
            <w:tcW w:w="0" w:type="auto"/>
            <w:shd w:val="clear" w:color="auto" w:fill="auto"/>
            <w:tcMar>
              <w:top w:w="180" w:type="dxa"/>
              <w:left w:w="270" w:type="dxa"/>
              <w:bottom w:w="180" w:type="dxa"/>
              <w:right w:w="270" w:type="dxa"/>
            </w:tcMar>
            <w:vAlign w:val="center"/>
          </w:tcPr>
          <w:p w14:paraId="6025D32E">
            <w:pPr>
              <w:keepNext w:val="0"/>
              <w:keepLines w:val="0"/>
              <w:widowControl/>
              <w:suppressLineNumbers w:val="0"/>
              <w:bidi w:val="0"/>
              <w:jc w:val="left"/>
              <w:rPr>
                <w:rFonts w:hint="eastAsia" w:ascii="黑体" w:hAnsi="黑体" w:eastAsia="黑体" w:cs="黑体"/>
                <w:sz w:val="28"/>
                <w:szCs w:val="28"/>
              </w:rPr>
            </w:pPr>
            <w:r>
              <w:rPr>
                <w:rFonts w:hint="eastAsia" w:ascii="黑体" w:hAnsi="黑体" w:eastAsia="黑体" w:cs="黑体"/>
                <w:kern w:val="0"/>
                <w:sz w:val="28"/>
                <w:szCs w:val="28"/>
                <w:lang w:val="en-US" w:eastAsia="zh-CN" w:bidi="ar"/>
              </w:rPr>
              <w:t>Cold-rolled silicon steel sheet (Type 50WW350)</w:t>
            </w:r>
          </w:p>
        </w:tc>
        <w:tc>
          <w:tcPr>
            <w:tcW w:w="0" w:type="auto"/>
            <w:shd w:val="clear" w:color="auto" w:fill="auto"/>
            <w:tcMar>
              <w:top w:w="180" w:type="dxa"/>
              <w:left w:w="270" w:type="dxa"/>
              <w:bottom w:w="180" w:type="dxa"/>
              <w:right w:w="270" w:type="dxa"/>
            </w:tcMar>
            <w:vAlign w:val="center"/>
          </w:tcPr>
          <w:p w14:paraId="01FD5767">
            <w:pPr>
              <w:keepNext w:val="0"/>
              <w:keepLines w:val="0"/>
              <w:widowControl/>
              <w:suppressLineNumbers w:val="0"/>
              <w:bidi w:val="0"/>
              <w:jc w:val="left"/>
              <w:rPr>
                <w:rFonts w:hint="eastAsia" w:ascii="黑体" w:hAnsi="黑体" w:eastAsia="黑体" w:cs="黑体"/>
                <w:sz w:val="28"/>
                <w:szCs w:val="28"/>
              </w:rPr>
            </w:pPr>
            <w:r>
              <w:rPr>
                <w:rFonts w:hint="eastAsia" w:ascii="黑体" w:hAnsi="黑体" w:eastAsia="黑体" w:cs="黑体"/>
                <w:kern w:val="0"/>
                <w:sz w:val="28"/>
                <w:szCs w:val="28"/>
                <w:lang w:val="en-US" w:eastAsia="zh-CN" w:bidi="ar"/>
              </w:rPr>
              <w:t>0.5mm thickness, coated with insulation</w:t>
            </w:r>
          </w:p>
        </w:tc>
      </w:tr>
      <w:tr w14:paraId="4CC20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0" w:type="auto"/>
            <w:shd w:val="clear" w:color="auto" w:fill="auto"/>
            <w:tcMar>
              <w:top w:w="180" w:type="dxa"/>
              <w:left w:w="270" w:type="dxa"/>
              <w:bottom w:w="180" w:type="dxa"/>
              <w:right w:w="270" w:type="dxa"/>
            </w:tcMar>
            <w:vAlign w:val="center"/>
          </w:tcPr>
          <w:p w14:paraId="3ED5CA03">
            <w:pPr>
              <w:keepNext w:val="0"/>
              <w:keepLines w:val="0"/>
              <w:widowControl/>
              <w:suppressLineNumbers w:val="0"/>
              <w:bidi w:val="0"/>
              <w:jc w:val="left"/>
              <w:rPr>
                <w:rFonts w:hint="eastAsia" w:ascii="黑体" w:hAnsi="黑体" w:eastAsia="黑体" w:cs="黑体"/>
                <w:sz w:val="28"/>
                <w:szCs w:val="28"/>
              </w:rPr>
            </w:pPr>
            <w:r>
              <w:rPr>
                <w:rFonts w:hint="eastAsia" w:ascii="黑体" w:hAnsi="黑体" w:eastAsia="黑体" w:cs="黑体"/>
                <w:kern w:val="0"/>
                <w:sz w:val="28"/>
                <w:szCs w:val="28"/>
                <w:lang w:val="en-US" w:eastAsia="zh-CN" w:bidi="ar"/>
              </w:rPr>
              <w:t>Outer Diameter of Iron Core</w:t>
            </w:r>
          </w:p>
        </w:tc>
        <w:tc>
          <w:tcPr>
            <w:tcW w:w="0" w:type="auto"/>
            <w:shd w:val="clear" w:color="auto" w:fill="auto"/>
            <w:tcMar>
              <w:top w:w="180" w:type="dxa"/>
              <w:left w:w="270" w:type="dxa"/>
              <w:bottom w:w="180" w:type="dxa"/>
              <w:right w:w="270" w:type="dxa"/>
            </w:tcMar>
            <w:vAlign w:val="center"/>
          </w:tcPr>
          <w:p w14:paraId="4F7ED429">
            <w:pPr>
              <w:keepNext w:val="0"/>
              <w:keepLines w:val="0"/>
              <w:widowControl/>
              <w:suppressLineNumbers w:val="0"/>
              <w:bidi w:val="0"/>
              <w:jc w:val="left"/>
              <w:rPr>
                <w:rFonts w:hint="eastAsia" w:ascii="黑体" w:hAnsi="黑体" w:eastAsia="黑体" w:cs="黑体"/>
                <w:sz w:val="28"/>
                <w:szCs w:val="28"/>
              </w:rPr>
            </w:pPr>
            <w:r>
              <w:rPr>
                <w:rFonts w:hint="eastAsia" w:ascii="黑体" w:hAnsi="黑体" w:eastAsia="黑体" w:cs="黑体"/>
                <w:kern w:val="0"/>
                <w:sz w:val="28"/>
                <w:szCs w:val="28"/>
                <w:lang w:val="en-US" w:eastAsia="zh-CN" w:bidi="ar"/>
              </w:rPr>
              <w:t>200–1200mm</w:t>
            </w:r>
          </w:p>
        </w:tc>
        <w:tc>
          <w:tcPr>
            <w:tcW w:w="0" w:type="auto"/>
            <w:shd w:val="clear" w:color="auto" w:fill="auto"/>
            <w:tcMar>
              <w:top w:w="180" w:type="dxa"/>
              <w:left w:w="270" w:type="dxa"/>
              <w:bottom w:w="180" w:type="dxa"/>
              <w:right w:w="270" w:type="dxa"/>
            </w:tcMar>
            <w:vAlign w:val="center"/>
          </w:tcPr>
          <w:p w14:paraId="299170B1">
            <w:pPr>
              <w:keepNext w:val="0"/>
              <w:keepLines w:val="0"/>
              <w:widowControl/>
              <w:suppressLineNumbers w:val="0"/>
              <w:bidi w:val="0"/>
              <w:jc w:val="left"/>
              <w:rPr>
                <w:rFonts w:hint="eastAsia" w:ascii="黑体" w:hAnsi="黑体" w:eastAsia="黑体" w:cs="黑体"/>
                <w:sz w:val="28"/>
                <w:szCs w:val="28"/>
              </w:rPr>
            </w:pPr>
            <w:r>
              <w:rPr>
                <w:rFonts w:hint="eastAsia" w:ascii="黑体" w:hAnsi="黑体" w:eastAsia="黑体" w:cs="黑体"/>
                <w:kern w:val="0"/>
                <w:sz w:val="28"/>
                <w:szCs w:val="28"/>
                <w:lang w:val="en-US" w:eastAsia="zh-CN" w:bidi="ar"/>
              </w:rPr>
              <w:t>Suitable for 5kW–2000kW generators</w:t>
            </w:r>
          </w:p>
        </w:tc>
      </w:tr>
      <w:tr w14:paraId="2F28C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c>
          <w:tcPr>
            <w:tcW w:w="0" w:type="auto"/>
            <w:shd w:val="clear" w:color="auto" w:fill="auto"/>
            <w:tcMar>
              <w:top w:w="180" w:type="dxa"/>
              <w:left w:w="270" w:type="dxa"/>
              <w:bottom w:w="180" w:type="dxa"/>
              <w:right w:w="270" w:type="dxa"/>
            </w:tcMar>
            <w:vAlign w:val="center"/>
          </w:tcPr>
          <w:p w14:paraId="592C9D4D">
            <w:pPr>
              <w:keepNext w:val="0"/>
              <w:keepLines w:val="0"/>
              <w:widowControl/>
              <w:suppressLineNumbers w:val="0"/>
              <w:bidi w:val="0"/>
              <w:jc w:val="left"/>
              <w:rPr>
                <w:rFonts w:hint="eastAsia" w:ascii="黑体" w:hAnsi="黑体" w:eastAsia="黑体" w:cs="黑体"/>
                <w:sz w:val="28"/>
                <w:szCs w:val="28"/>
              </w:rPr>
            </w:pPr>
            <w:r>
              <w:rPr>
                <w:rFonts w:hint="eastAsia" w:ascii="黑体" w:hAnsi="黑体" w:eastAsia="黑体" w:cs="黑体"/>
                <w:kern w:val="0"/>
                <w:sz w:val="28"/>
                <w:szCs w:val="28"/>
                <w:lang w:val="en-US" w:eastAsia="zh-CN" w:bidi="ar"/>
              </w:rPr>
              <w:t>Lamination Factor</w:t>
            </w:r>
          </w:p>
        </w:tc>
        <w:tc>
          <w:tcPr>
            <w:tcW w:w="0" w:type="auto"/>
            <w:shd w:val="clear" w:color="auto" w:fill="auto"/>
            <w:tcMar>
              <w:top w:w="180" w:type="dxa"/>
              <w:left w:w="270" w:type="dxa"/>
              <w:bottom w:w="180" w:type="dxa"/>
              <w:right w:w="270" w:type="dxa"/>
            </w:tcMar>
            <w:vAlign w:val="center"/>
          </w:tcPr>
          <w:p w14:paraId="78A1C76D">
            <w:pPr>
              <w:keepNext w:val="0"/>
              <w:keepLines w:val="0"/>
              <w:widowControl/>
              <w:suppressLineNumbers w:val="0"/>
              <w:bidi w:val="0"/>
              <w:jc w:val="left"/>
              <w:rPr>
                <w:rFonts w:hint="eastAsia" w:ascii="黑体" w:hAnsi="黑体" w:eastAsia="黑体" w:cs="黑体"/>
                <w:sz w:val="28"/>
                <w:szCs w:val="28"/>
              </w:rPr>
            </w:pPr>
            <w:r>
              <w:rPr>
                <w:rFonts w:hint="eastAsia" w:ascii="黑体" w:hAnsi="黑体" w:eastAsia="黑体" w:cs="黑体"/>
                <w:kern w:val="0"/>
                <w:sz w:val="28"/>
                <w:szCs w:val="28"/>
                <w:lang w:val="en-US" w:eastAsia="zh-CN" w:bidi="ar"/>
              </w:rPr>
              <w:t>≥95%</w:t>
            </w:r>
          </w:p>
        </w:tc>
        <w:tc>
          <w:tcPr>
            <w:tcW w:w="0" w:type="auto"/>
            <w:shd w:val="clear" w:color="auto" w:fill="auto"/>
            <w:tcMar>
              <w:top w:w="180" w:type="dxa"/>
              <w:left w:w="270" w:type="dxa"/>
              <w:bottom w:w="180" w:type="dxa"/>
              <w:right w:w="270" w:type="dxa"/>
            </w:tcMar>
            <w:vAlign w:val="center"/>
          </w:tcPr>
          <w:p w14:paraId="4F15EDD9">
            <w:pPr>
              <w:keepNext w:val="0"/>
              <w:keepLines w:val="0"/>
              <w:widowControl/>
              <w:suppressLineNumbers w:val="0"/>
              <w:bidi w:val="0"/>
              <w:jc w:val="left"/>
              <w:rPr>
                <w:rFonts w:hint="eastAsia" w:ascii="黑体" w:hAnsi="黑体" w:eastAsia="黑体" w:cs="黑体"/>
                <w:sz w:val="28"/>
                <w:szCs w:val="28"/>
              </w:rPr>
            </w:pPr>
            <w:r>
              <w:rPr>
                <w:rFonts w:hint="eastAsia" w:ascii="黑体" w:hAnsi="黑体" w:eastAsia="黑体" w:cs="黑体"/>
                <w:kern w:val="0"/>
                <w:sz w:val="28"/>
                <w:szCs w:val="28"/>
                <w:lang w:val="en-US" w:eastAsia="zh-CN" w:bidi="ar"/>
              </w:rPr>
              <w:t>Reduces air gaps and enhances magnetic permeability</w:t>
            </w:r>
          </w:p>
        </w:tc>
      </w:tr>
      <w:tr w14:paraId="07AB0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0" w:type="auto"/>
            <w:shd w:val="clear" w:color="auto" w:fill="auto"/>
            <w:tcMar>
              <w:top w:w="180" w:type="dxa"/>
              <w:left w:w="270" w:type="dxa"/>
              <w:bottom w:w="180" w:type="dxa"/>
              <w:right w:w="270" w:type="dxa"/>
            </w:tcMar>
            <w:vAlign w:val="center"/>
          </w:tcPr>
          <w:p w14:paraId="76DBD29A">
            <w:pPr>
              <w:keepNext w:val="0"/>
              <w:keepLines w:val="0"/>
              <w:widowControl/>
              <w:suppressLineNumbers w:val="0"/>
              <w:bidi w:val="0"/>
              <w:jc w:val="left"/>
              <w:rPr>
                <w:rFonts w:hint="eastAsia" w:ascii="黑体" w:hAnsi="黑体" w:eastAsia="黑体" w:cs="黑体"/>
                <w:sz w:val="28"/>
                <w:szCs w:val="28"/>
              </w:rPr>
            </w:pPr>
            <w:r>
              <w:rPr>
                <w:rFonts w:hint="eastAsia" w:ascii="黑体" w:hAnsi="黑体" w:eastAsia="黑体" w:cs="黑体"/>
                <w:kern w:val="0"/>
                <w:sz w:val="28"/>
                <w:szCs w:val="28"/>
                <w:lang w:val="en-US" w:eastAsia="zh-CN" w:bidi="ar"/>
              </w:rPr>
              <w:t>Iron Loss (50Hz)</w:t>
            </w:r>
          </w:p>
        </w:tc>
        <w:tc>
          <w:tcPr>
            <w:tcW w:w="0" w:type="auto"/>
            <w:shd w:val="clear" w:color="auto" w:fill="auto"/>
            <w:tcMar>
              <w:top w:w="180" w:type="dxa"/>
              <w:left w:w="270" w:type="dxa"/>
              <w:bottom w:w="180" w:type="dxa"/>
              <w:right w:w="270" w:type="dxa"/>
            </w:tcMar>
            <w:vAlign w:val="center"/>
          </w:tcPr>
          <w:p w14:paraId="0C5E1851">
            <w:pPr>
              <w:keepNext w:val="0"/>
              <w:keepLines w:val="0"/>
              <w:widowControl/>
              <w:suppressLineNumbers w:val="0"/>
              <w:bidi w:val="0"/>
              <w:jc w:val="left"/>
              <w:rPr>
                <w:rFonts w:hint="eastAsia" w:ascii="黑体" w:hAnsi="黑体" w:eastAsia="黑体" w:cs="黑体"/>
                <w:sz w:val="28"/>
                <w:szCs w:val="28"/>
              </w:rPr>
            </w:pPr>
            <w:r>
              <w:rPr>
                <w:rFonts w:hint="eastAsia" w:ascii="黑体" w:hAnsi="黑体" w:eastAsia="黑体" w:cs="黑体"/>
                <w:kern w:val="0"/>
                <w:sz w:val="28"/>
                <w:szCs w:val="28"/>
                <w:lang w:val="en-US" w:eastAsia="zh-CN" w:bidi="ar"/>
              </w:rPr>
              <w:t>≤2.0W/kg</w:t>
            </w:r>
          </w:p>
        </w:tc>
        <w:tc>
          <w:tcPr>
            <w:tcW w:w="0" w:type="auto"/>
            <w:shd w:val="clear" w:color="auto" w:fill="auto"/>
            <w:tcMar>
              <w:top w:w="180" w:type="dxa"/>
              <w:left w:w="270" w:type="dxa"/>
              <w:bottom w:w="180" w:type="dxa"/>
              <w:right w:w="270" w:type="dxa"/>
            </w:tcMar>
            <w:vAlign w:val="center"/>
          </w:tcPr>
          <w:p w14:paraId="73EC4661">
            <w:pPr>
              <w:keepNext w:val="0"/>
              <w:keepLines w:val="0"/>
              <w:widowControl/>
              <w:suppressLineNumbers w:val="0"/>
              <w:bidi w:val="0"/>
              <w:jc w:val="left"/>
              <w:rPr>
                <w:rFonts w:hint="eastAsia" w:ascii="黑体" w:hAnsi="黑体" w:eastAsia="黑体" w:cs="黑体"/>
                <w:sz w:val="28"/>
                <w:szCs w:val="28"/>
              </w:rPr>
            </w:pPr>
            <w:r>
              <w:rPr>
                <w:rFonts w:hint="eastAsia" w:ascii="黑体" w:hAnsi="黑体" w:eastAsia="黑体" w:cs="黑体"/>
                <w:kern w:val="0"/>
                <w:sz w:val="28"/>
                <w:szCs w:val="28"/>
                <w:lang w:val="en-US" w:eastAsia="zh-CN" w:bidi="ar"/>
              </w:rPr>
              <w:t>Specified by GB/T 2521</w:t>
            </w:r>
          </w:p>
        </w:tc>
      </w:tr>
      <w:tr w14:paraId="0EA9A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0" w:type="auto"/>
            <w:shd w:val="clear" w:color="auto" w:fill="auto"/>
            <w:tcMar>
              <w:top w:w="180" w:type="dxa"/>
              <w:left w:w="270" w:type="dxa"/>
              <w:bottom w:w="180" w:type="dxa"/>
              <w:right w:w="270" w:type="dxa"/>
            </w:tcMar>
            <w:vAlign w:val="center"/>
          </w:tcPr>
          <w:p w14:paraId="6428E739">
            <w:pPr>
              <w:keepNext w:val="0"/>
              <w:keepLines w:val="0"/>
              <w:widowControl/>
              <w:suppressLineNumbers w:val="0"/>
              <w:bidi w:val="0"/>
              <w:jc w:val="left"/>
              <w:rPr>
                <w:rFonts w:hint="eastAsia" w:ascii="黑体" w:hAnsi="黑体" w:eastAsia="黑体" w:cs="黑体"/>
                <w:sz w:val="28"/>
                <w:szCs w:val="28"/>
              </w:rPr>
            </w:pPr>
            <w:r>
              <w:rPr>
                <w:rFonts w:hint="eastAsia" w:ascii="黑体" w:hAnsi="黑体" w:eastAsia="黑体" w:cs="黑体"/>
                <w:kern w:val="0"/>
                <w:sz w:val="28"/>
                <w:szCs w:val="28"/>
                <w:lang w:val="en-US" w:eastAsia="zh-CN" w:bidi="ar"/>
              </w:rPr>
              <w:t>Operating Temperature</w:t>
            </w:r>
          </w:p>
        </w:tc>
        <w:tc>
          <w:tcPr>
            <w:tcW w:w="0" w:type="auto"/>
            <w:shd w:val="clear" w:color="auto" w:fill="auto"/>
            <w:tcMar>
              <w:top w:w="180" w:type="dxa"/>
              <w:left w:w="270" w:type="dxa"/>
              <w:bottom w:w="180" w:type="dxa"/>
              <w:right w:w="270" w:type="dxa"/>
            </w:tcMar>
            <w:vAlign w:val="center"/>
          </w:tcPr>
          <w:p w14:paraId="3015A26F">
            <w:pPr>
              <w:keepNext w:val="0"/>
              <w:keepLines w:val="0"/>
              <w:widowControl/>
              <w:suppressLineNumbers w:val="0"/>
              <w:bidi w:val="0"/>
              <w:jc w:val="left"/>
              <w:rPr>
                <w:rFonts w:hint="eastAsia" w:ascii="黑体" w:hAnsi="黑体" w:eastAsia="黑体" w:cs="黑体"/>
                <w:sz w:val="28"/>
                <w:szCs w:val="28"/>
              </w:rPr>
            </w:pPr>
            <w:r>
              <w:rPr>
                <w:rFonts w:hint="eastAsia" w:ascii="黑体" w:hAnsi="黑体" w:eastAsia="黑体" w:cs="黑体"/>
                <w:kern w:val="0"/>
                <w:sz w:val="28"/>
                <w:szCs w:val="28"/>
                <w:lang w:val="en-US" w:eastAsia="zh-CN" w:bidi="ar"/>
              </w:rPr>
              <w:t>-40°C to +180°C</w:t>
            </w:r>
          </w:p>
        </w:tc>
        <w:tc>
          <w:tcPr>
            <w:tcW w:w="0" w:type="auto"/>
            <w:shd w:val="clear" w:color="auto" w:fill="auto"/>
            <w:tcMar>
              <w:top w:w="180" w:type="dxa"/>
              <w:left w:w="270" w:type="dxa"/>
              <w:bottom w:w="180" w:type="dxa"/>
              <w:right w:w="270" w:type="dxa"/>
            </w:tcMar>
            <w:vAlign w:val="center"/>
          </w:tcPr>
          <w:p w14:paraId="027F7F04">
            <w:pPr>
              <w:keepNext w:val="0"/>
              <w:keepLines w:val="0"/>
              <w:widowControl/>
              <w:suppressLineNumbers w:val="0"/>
              <w:bidi w:val="0"/>
              <w:jc w:val="left"/>
              <w:rPr>
                <w:rFonts w:hint="eastAsia" w:ascii="黑体" w:hAnsi="黑体" w:eastAsia="黑体" w:cs="黑体"/>
                <w:sz w:val="28"/>
                <w:szCs w:val="28"/>
              </w:rPr>
            </w:pPr>
            <w:r>
              <w:rPr>
                <w:rFonts w:hint="eastAsia" w:ascii="黑体" w:hAnsi="黑体" w:eastAsia="黑体" w:cs="黑体"/>
                <w:kern w:val="0"/>
                <w:sz w:val="28"/>
                <w:szCs w:val="28"/>
                <w:lang w:val="en-US" w:eastAsia="zh-CN" w:bidi="ar"/>
              </w:rPr>
              <w:t>H-class insulating material</w:t>
            </w:r>
          </w:p>
        </w:tc>
      </w:tr>
      <w:tr w14:paraId="489AB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0" w:type="auto"/>
            <w:shd w:val="clear" w:color="auto" w:fill="auto"/>
            <w:tcMar>
              <w:top w:w="180" w:type="dxa"/>
              <w:left w:w="270" w:type="dxa"/>
              <w:bottom w:w="180" w:type="dxa"/>
              <w:right w:w="270" w:type="dxa"/>
            </w:tcMar>
            <w:vAlign w:val="center"/>
          </w:tcPr>
          <w:p w14:paraId="71D297EB">
            <w:pPr>
              <w:keepNext w:val="0"/>
              <w:keepLines w:val="0"/>
              <w:widowControl/>
              <w:suppressLineNumbers w:val="0"/>
              <w:bidi w:val="0"/>
              <w:jc w:val="left"/>
              <w:rPr>
                <w:rFonts w:hint="eastAsia" w:ascii="黑体" w:hAnsi="黑体" w:eastAsia="黑体" w:cs="黑体"/>
                <w:sz w:val="28"/>
                <w:szCs w:val="28"/>
              </w:rPr>
            </w:pPr>
            <w:r>
              <w:rPr>
                <w:rFonts w:hint="eastAsia" w:ascii="黑体" w:hAnsi="黑体" w:eastAsia="黑体" w:cs="黑体"/>
                <w:kern w:val="0"/>
                <w:sz w:val="28"/>
                <w:szCs w:val="28"/>
                <w:lang w:val="en-US" w:eastAsia="zh-CN" w:bidi="ar"/>
              </w:rPr>
              <w:t>Weight</w:t>
            </w:r>
          </w:p>
        </w:tc>
        <w:tc>
          <w:tcPr>
            <w:tcW w:w="0" w:type="auto"/>
            <w:shd w:val="clear" w:color="auto" w:fill="auto"/>
            <w:tcMar>
              <w:top w:w="180" w:type="dxa"/>
              <w:left w:w="270" w:type="dxa"/>
              <w:bottom w:w="180" w:type="dxa"/>
              <w:right w:w="270" w:type="dxa"/>
            </w:tcMar>
            <w:vAlign w:val="center"/>
          </w:tcPr>
          <w:p w14:paraId="6791F2E2">
            <w:pPr>
              <w:keepNext w:val="0"/>
              <w:keepLines w:val="0"/>
              <w:widowControl/>
              <w:suppressLineNumbers w:val="0"/>
              <w:bidi w:val="0"/>
              <w:jc w:val="left"/>
              <w:rPr>
                <w:rFonts w:hint="eastAsia" w:ascii="黑体" w:hAnsi="黑体" w:eastAsia="黑体" w:cs="黑体"/>
                <w:sz w:val="28"/>
                <w:szCs w:val="28"/>
              </w:rPr>
            </w:pPr>
            <w:r>
              <w:rPr>
                <w:rFonts w:hint="eastAsia" w:ascii="黑体" w:hAnsi="黑体" w:eastAsia="黑体" w:cs="黑体"/>
                <w:kern w:val="0"/>
                <w:sz w:val="28"/>
                <w:szCs w:val="28"/>
                <w:lang w:val="en-US" w:eastAsia="zh-CN" w:bidi="ar"/>
              </w:rPr>
              <w:t>15kg–800kg</w:t>
            </w:r>
          </w:p>
        </w:tc>
        <w:tc>
          <w:tcPr>
            <w:tcW w:w="0" w:type="auto"/>
            <w:shd w:val="clear" w:color="auto" w:fill="auto"/>
            <w:tcMar>
              <w:top w:w="180" w:type="dxa"/>
              <w:left w:w="270" w:type="dxa"/>
              <w:bottom w:w="180" w:type="dxa"/>
              <w:right w:w="270" w:type="dxa"/>
            </w:tcMar>
            <w:vAlign w:val="center"/>
          </w:tcPr>
          <w:p w14:paraId="2427EE39">
            <w:pPr>
              <w:keepNext w:val="0"/>
              <w:keepLines w:val="0"/>
              <w:widowControl/>
              <w:suppressLineNumbers w:val="0"/>
              <w:bidi w:val="0"/>
              <w:jc w:val="left"/>
              <w:rPr>
                <w:rFonts w:hint="eastAsia" w:ascii="黑体" w:hAnsi="黑体" w:eastAsia="黑体" w:cs="黑体"/>
                <w:sz w:val="28"/>
                <w:szCs w:val="28"/>
              </w:rPr>
            </w:pPr>
            <w:r>
              <w:rPr>
                <w:rFonts w:hint="eastAsia" w:ascii="黑体" w:hAnsi="黑体" w:eastAsia="黑体" w:cs="黑体"/>
                <w:kern w:val="0"/>
                <w:sz w:val="28"/>
                <w:szCs w:val="28"/>
                <w:lang w:val="en-US" w:eastAsia="zh-CN" w:bidi="ar"/>
              </w:rPr>
              <w:t>Positively correlated with power</w:t>
            </w:r>
          </w:p>
        </w:tc>
      </w:tr>
    </w:tbl>
    <w:p w14:paraId="7F705EA3">
      <w:pPr>
        <w:keepNext w:val="0"/>
        <w:keepLines w:val="0"/>
        <w:widowControl/>
        <w:suppressLineNumbers w:val="0"/>
        <w:spacing w:before="180" w:beforeAutospacing="0" w:after="0" w:afterAutospacing="0"/>
        <w:ind w:left="0" w:right="0"/>
        <w:jc w:val="left"/>
        <w:rPr>
          <w:rFonts w:hint="eastAsia" w:ascii="黑体" w:hAnsi="黑体" w:eastAsia="黑体" w:cs="黑体"/>
          <w:sz w:val="28"/>
          <w:szCs w:val="28"/>
        </w:rPr>
      </w:pPr>
    </w:p>
    <w:p w14:paraId="3A8A93FA">
      <w:pPr>
        <w:keepNext w:val="0"/>
        <w:keepLines w:val="0"/>
        <w:widowControl/>
        <w:suppressLineNumbers w:val="0"/>
        <w:pBdr>
          <w:top w:val="none" w:color="auto" w:sz="0" w:space="0"/>
          <w:bottom w:val="none" w:color="auto" w:sz="0" w:space="0"/>
        </w:pBdr>
        <w:shd w:val="clear" w:fill="FFFFFF"/>
        <w:bidi w:val="0"/>
        <w:spacing w:before="180" w:beforeAutospacing="0" w:after="0" w:afterAutospacing="0"/>
        <w:ind w:left="0" w:right="0" w:firstLine="0"/>
        <w:jc w:val="left"/>
        <w:rPr>
          <w:rFonts w:hint="eastAsia" w:ascii="黑体" w:hAnsi="黑体" w:eastAsia="黑体" w:cs="黑体"/>
          <w:sz w:val="28"/>
          <w:szCs w:val="28"/>
        </w:rPr>
      </w:pPr>
      <w:r>
        <w:rPr>
          <w:rFonts w:hint="eastAsia" w:ascii="黑体" w:hAnsi="黑体" w:eastAsia="黑体" w:cs="黑体"/>
          <w:i w:val="0"/>
          <w:iCs w:val="0"/>
          <w:caps w:val="0"/>
          <w:color w:val="1C1F23"/>
          <w:spacing w:val="0"/>
          <w:kern w:val="0"/>
          <w:sz w:val="28"/>
          <w:szCs w:val="28"/>
          <w:shd w:val="clear" w:fill="FFFFFF"/>
          <w:lang w:val="en-US" w:eastAsia="zh-CN" w:bidi="ar"/>
        </w:rPr>
        <w:t>FAQ</w:t>
      </w:r>
      <w:r>
        <w:rPr>
          <w:rFonts w:hint="eastAsia" w:ascii="黑体" w:hAnsi="黑体" w:eastAsia="黑体" w:cs="黑体"/>
          <w:i w:val="0"/>
          <w:iCs w:val="0"/>
          <w:caps w:val="0"/>
          <w:color w:val="1C1F23"/>
          <w:spacing w:val="0"/>
          <w:kern w:val="0"/>
          <w:sz w:val="28"/>
          <w:szCs w:val="28"/>
          <w:shd w:val="clear" w:fill="FFFFFF"/>
          <w:lang w:val="en-US" w:eastAsia="zh-CN" w:bidi="ar"/>
        </w:rPr>
        <w:br w:type="textWrapping"/>
      </w:r>
      <w:r>
        <w:rPr>
          <w:rFonts w:hint="eastAsia" w:ascii="黑体" w:hAnsi="黑体" w:eastAsia="黑体" w:cs="黑体"/>
          <w:i w:val="0"/>
          <w:iCs w:val="0"/>
          <w:caps w:val="0"/>
          <w:color w:val="1C1F23"/>
          <w:spacing w:val="0"/>
          <w:kern w:val="0"/>
          <w:sz w:val="28"/>
          <w:szCs w:val="28"/>
          <w:shd w:val="clear" w:fill="FFFFFF"/>
          <w:lang w:val="en-US" w:eastAsia="zh-CN" w:bidi="ar"/>
        </w:rPr>
        <w:t>Q1: Why must silicon steel sheets be used for the iron core?</w:t>
      </w:r>
      <w:r>
        <w:rPr>
          <w:rFonts w:hint="eastAsia" w:ascii="黑体" w:hAnsi="黑体" w:eastAsia="黑体" w:cs="黑体"/>
          <w:i w:val="0"/>
          <w:iCs w:val="0"/>
          <w:caps w:val="0"/>
          <w:color w:val="1C1F23"/>
          <w:spacing w:val="0"/>
          <w:kern w:val="0"/>
          <w:sz w:val="28"/>
          <w:szCs w:val="28"/>
          <w:shd w:val="clear" w:fill="FFFFFF"/>
          <w:lang w:val="en-US" w:eastAsia="zh-CN" w:bidi="ar"/>
        </w:rPr>
        <w:br w:type="textWrapping"/>
      </w:r>
      <w:r>
        <w:rPr>
          <w:rFonts w:hint="eastAsia" w:ascii="黑体" w:hAnsi="黑体" w:eastAsia="黑体" w:cs="黑体"/>
          <w:i w:val="0"/>
          <w:iCs w:val="0"/>
          <w:caps w:val="0"/>
          <w:color w:val="1C1F23"/>
          <w:spacing w:val="0"/>
          <w:kern w:val="0"/>
          <w:sz w:val="28"/>
          <w:szCs w:val="28"/>
          <w:shd w:val="clear" w:fill="FFFFFF"/>
          <w:lang w:val="en-US" w:eastAsia="zh-CN" w:bidi="ar"/>
        </w:rPr>
        <w:t>A1: Silicon steel sheets contain 3%-5% silicon, which reduces resistivity and cuts eddy current loss by 70%, making them more efficient than ordinary steel.</w:t>
      </w:r>
    </w:p>
    <w:p w14:paraId="50062FCD">
      <w:pPr>
        <w:keepNext w:val="0"/>
        <w:keepLines w:val="0"/>
        <w:widowControl/>
        <w:suppressLineNumbers w:val="0"/>
        <w:pBdr>
          <w:top w:val="none" w:color="auto" w:sz="0" w:space="0"/>
          <w:bottom w:val="none" w:color="auto" w:sz="0" w:space="0"/>
        </w:pBdr>
        <w:shd w:val="clear" w:fill="FFFFFF"/>
        <w:bidi w:val="0"/>
        <w:spacing w:before="180" w:beforeAutospacing="0" w:after="0" w:afterAutospacing="0"/>
        <w:ind w:left="0" w:right="0" w:firstLine="0"/>
        <w:jc w:val="left"/>
        <w:rPr>
          <w:rFonts w:hint="eastAsia" w:ascii="黑体" w:hAnsi="黑体" w:eastAsia="黑体" w:cs="黑体"/>
          <w:sz w:val="28"/>
          <w:szCs w:val="28"/>
        </w:rPr>
      </w:pPr>
      <w:r>
        <w:rPr>
          <w:rFonts w:hint="eastAsia" w:ascii="黑体" w:hAnsi="黑体" w:eastAsia="黑体" w:cs="黑体"/>
          <w:i w:val="0"/>
          <w:iCs w:val="0"/>
          <w:caps w:val="0"/>
          <w:color w:val="1C1F23"/>
          <w:spacing w:val="0"/>
          <w:kern w:val="0"/>
          <w:sz w:val="28"/>
          <w:szCs w:val="28"/>
          <w:shd w:val="clear" w:fill="FFFFFF"/>
          <w:lang w:val="en-US" w:eastAsia="zh-CN" w:bidi="ar"/>
        </w:rPr>
        <w:t>Q2: What is the service life of the iron core? How to maintain it?</w:t>
      </w:r>
      <w:r>
        <w:rPr>
          <w:rFonts w:hint="eastAsia" w:ascii="黑体" w:hAnsi="黑体" w:eastAsia="黑体" w:cs="黑体"/>
          <w:i w:val="0"/>
          <w:iCs w:val="0"/>
          <w:caps w:val="0"/>
          <w:color w:val="1C1F23"/>
          <w:spacing w:val="0"/>
          <w:kern w:val="0"/>
          <w:sz w:val="28"/>
          <w:szCs w:val="28"/>
          <w:shd w:val="clear" w:fill="FFFFFF"/>
          <w:lang w:val="en-US" w:eastAsia="zh-CN" w:bidi="ar"/>
        </w:rPr>
        <w:br w:type="textWrapping"/>
      </w:r>
      <w:r>
        <w:rPr>
          <w:rFonts w:hint="eastAsia" w:ascii="黑体" w:hAnsi="黑体" w:eastAsia="黑体" w:cs="黑体"/>
          <w:i w:val="0"/>
          <w:iCs w:val="0"/>
          <w:caps w:val="0"/>
          <w:color w:val="1C1F23"/>
          <w:spacing w:val="0"/>
          <w:kern w:val="0"/>
          <w:sz w:val="28"/>
          <w:szCs w:val="28"/>
          <w:shd w:val="clear" w:fill="FFFFFF"/>
          <w:lang w:val="en-US" w:eastAsia="zh-CN" w:bidi="ar"/>
        </w:rPr>
        <w:t>A2: The service life under normal working conditions is ≥20 years. Regular dust removal and inspection of the insulation coating are required to avoid corrosion in humid environments.</w:t>
      </w:r>
    </w:p>
    <w:p w14:paraId="5567DE74">
      <w:pPr>
        <w:keepNext w:val="0"/>
        <w:keepLines w:val="0"/>
        <w:widowControl/>
        <w:suppressLineNumbers w:val="0"/>
        <w:pBdr>
          <w:top w:val="none" w:color="auto" w:sz="0" w:space="0"/>
          <w:bottom w:val="none" w:color="auto" w:sz="0" w:space="0"/>
        </w:pBdr>
        <w:shd w:val="clear" w:fill="FFFFFF"/>
        <w:bidi w:val="0"/>
        <w:spacing w:before="180" w:beforeAutospacing="0" w:after="0" w:afterAutospacing="0"/>
        <w:ind w:left="0" w:right="0" w:firstLine="0"/>
        <w:jc w:val="left"/>
        <w:rPr>
          <w:rFonts w:hint="eastAsia" w:ascii="黑体" w:hAnsi="黑体" w:eastAsia="黑体" w:cs="黑体"/>
          <w:sz w:val="28"/>
          <w:szCs w:val="28"/>
        </w:rPr>
      </w:pPr>
      <w:r>
        <w:rPr>
          <w:rFonts w:hint="eastAsia" w:ascii="黑体" w:hAnsi="黑体" w:eastAsia="黑体" w:cs="黑体"/>
          <w:i w:val="0"/>
          <w:iCs w:val="0"/>
          <w:caps w:val="0"/>
          <w:color w:val="1C1F23"/>
          <w:spacing w:val="0"/>
          <w:kern w:val="0"/>
          <w:sz w:val="28"/>
          <w:szCs w:val="28"/>
          <w:shd w:val="clear" w:fill="FFFFFF"/>
          <w:lang w:val="en-US" w:eastAsia="zh-CN" w:bidi="ar"/>
        </w:rPr>
        <w:t>Q3: How to match the iron core size with the generator power?</w:t>
      </w:r>
      <w:r>
        <w:rPr>
          <w:rFonts w:hint="eastAsia" w:ascii="黑体" w:hAnsi="黑体" w:eastAsia="黑体" w:cs="黑体"/>
          <w:i w:val="0"/>
          <w:iCs w:val="0"/>
          <w:caps w:val="0"/>
          <w:color w:val="1C1F23"/>
          <w:spacing w:val="0"/>
          <w:kern w:val="0"/>
          <w:sz w:val="28"/>
          <w:szCs w:val="28"/>
          <w:shd w:val="clear" w:fill="FFFFFF"/>
          <w:lang w:val="en-US" w:eastAsia="zh-CN" w:bidi="ar"/>
        </w:rPr>
        <w:br w:type="textWrapping"/>
      </w:r>
      <w:r>
        <w:rPr>
          <w:rFonts w:hint="eastAsia" w:ascii="黑体" w:hAnsi="黑体" w:eastAsia="黑体" w:cs="黑体"/>
          <w:i w:val="0"/>
          <w:iCs w:val="0"/>
          <w:caps w:val="0"/>
          <w:color w:val="1C1F23"/>
          <w:spacing w:val="0"/>
          <w:kern w:val="0"/>
          <w:sz w:val="28"/>
          <w:szCs w:val="28"/>
          <w:shd w:val="clear" w:fill="FFFFFF"/>
          <w:lang w:val="en-US" w:eastAsia="zh-CN" w:bidi="ar"/>
        </w:rPr>
        <w:t>A3: For every 100kW increase in power, the cross-sectional area of the iron core needs to be expanded by approximately 15%, referring to the magnetic flux density formula (B=μ·H).</w:t>
      </w:r>
    </w:p>
    <w:p w14:paraId="128BAAB6">
      <w:pPr>
        <w:keepNext w:val="0"/>
        <w:keepLines w:val="0"/>
        <w:widowControl/>
        <w:suppressLineNumbers w:val="0"/>
        <w:pBdr>
          <w:top w:val="none" w:color="auto" w:sz="0" w:space="0"/>
          <w:bottom w:val="none" w:color="auto" w:sz="0" w:space="0"/>
        </w:pBdr>
        <w:shd w:val="clear" w:fill="FFFFFF"/>
        <w:bidi w:val="0"/>
        <w:spacing w:before="180" w:beforeAutospacing="0" w:after="0" w:afterAutospacing="0"/>
        <w:ind w:left="0" w:right="0" w:firstLine="0"/>
        <w:jc w:val="left"/>
        <w:rPr>
          <w:rFonts w:hint="eastAsia" w:ascii="黑体" w:hAnsi="黑体" w:eastAsia="黑体" w:cs="黑体"/>
        </w:rPr>
      </w:pPr>
      <w:r>
        <w:rPr>
          <w:rFonts w:hint="eastAsia" w:ascii="黑体" w:hAnsi="黑体" w:eastAsia="黑体" w:cs="黑体"/>
          <w:i w:val="0"/>
          <w:iCs w:val="0"/>
          <w:caps w:val="0"/>
          <w:color w:val="1C1F23"/>
          <w:spacing w:val="0"/>
          <w:kern w:val="0"/>
          <w:sz w:val="27"/>
          <w:szCs w:val="27"/>
          <w:shd w:val="clear" w:fill="FFFFFF"/>
          <w:lang w:val="en-US" w:eastAsia="zh-CN" w:bidi="ar"/>
        </w:rPr>
        <w:t>Q4: Can aluminum replace the iron core?</w:t>
      </w:r>
      <w:r>
        <w:rPr>
          <w:rFonts w:hint="eastAsia" w:ascii="黑体" w:hAnsi="黑体" w:eastAsia="黑体" w:cs="黑体"/>
          <w:i w:val="0"/>
          <w:iCs w:val="0"/>
          <w:caps w:val="0"/>
          <w:color w:val="1C1F23"/>
          <w:spacing w:val="0"/>
          <w:kern w:val="0"/>
          <w:sz w:val="27"/>
          <w:szCs w:val="27"/>
          <w:shd w:val="clear" w:fill="FFFFFF"/>
          <w:lang w:val="en-US" w:eastAsia="zh-CN" w:bidi="ar"/>
        </w:rPr>
        <w:br w:type="textWrapping"/>
      </w:r>
      <w:r>
        <w:rPr>
          <w:rFonts w:hint="eastAsia" w:ascii="黑体" w:hAnsi="黑体" w:eastAsia="黑体" w:cs="黑体"/>
          <w:i w:val="0"/>
          <w:iCs w:val="0"/>
          <w:caps w:val="0"/>
          <w:color w:val="1C1F23"/>
          <w:spacing w:val="0"/>
          <w:kern w:val="0"/>
          <w:sz w:val="27"/>
          <w:szCs w:val="27"/>
          <w:shd w:val="clear" w:fill="FFFFFF"/>
          <w:lang w:val="en-US" w:eastAsia="zh-CN" w:bidi="ar"/>
        </w:rPr>
        <w:t>A4: No! The magnetic permeability of aluminum is only 1/1000 of that of iron, which cannot effectively conduct the magnetic field.</w:t>
      </w:r>
    </w:p>
    <w:p w14:paraId="1A09BD5B">
      <w:pPr>
        <w:keepNext w:val="0"/>
        <w:keepLines w:val="0"/>
        <w:widowControl/>
        <w:suppressLineNumbers w:val="0"/>
        <w:pBdr>
          <w:top w:val="none" w:color="auto" w:sz="0" w:space="0"/>
          <w:bottom w:val="none" w:color="auto" w:sz="0" w:space="0"/>
        </w:pBdr>
        <w:shd w:val="clear" w:fill="FFFFFF"/>
        <w:bidi w:val="0"/>
        <w:spacing w:before="180" w:beforeAutospacing="0" w:after="0" w:afterAutospacing="0"/>
        <w:ind w:left="0" w:right="0" w:firstLine="0"/>
        <w:jc w:val="left"/>
        <w:rPr>
          <w:rFonts w:hint="eastAsia" w:ascii="黑体" w:hAnsi="黑体" w:eastAsia="黑体" w:cs="黑体"/>
          <w:i w:val="0"/>
          <w:iCs w:val="0"/>
          <w:caps w:val="0"/>
          <w:color w:val="1C1F23"/>
          <w:spacing w:val="0"/>
          <w:sz w:val="27"/>
          <w:szCs w:val="27"/>
        </w:rPr>
      </w:pPr>
      <w:r>
        <w:rPr>
          <w:rFonts w:hint="eastAsia" w:ascii="黑体" w:hAnsi="黑体" w:eastAsia="黑体" w:cs="黑体"/>
          <w:i w:val="0"/>
          <w:iCs w:val="0"/>
          <w:caps w:val="0"/>
          <w:color w:val="1C1F23"/>
          <w:spacing w:val="0"/>
          <w:kern w:val="0"/>
          <w:sz w:val="27"/>
          <w:szCs w:val="27"/>
          <w:shd w:val="clear" w:fill="FFFFFF"/>
          <w:lang w:val="en-US" w:eastAsia="zh-CN" w:bidi="ar"/>
        </w:rPr>
        <w:t>Q5: What causes loud noise in the iron core?</w:t>
      </w:r>
      <w:r>
        <w:rPr>
          <w:rFonts w:hint="eastAsia" w:ascii="黑体" w:hAnsi="黑体" w:eastAsia="黑体" w:cs="黑体"/>
          <w:i w:val="0"/>
          <w:iCs w:val="0"/>
          <w:caps w:val="0"/>
          <w:color w:val="1C1F23"/>
          <w:spacing w:val="0"/>
          <w:kern w:val="0"/>
          <w:sz w:val="27"/>
          <w:szCs w:val="27"/>
          <w:shd w:val="clear" w:fill="FFFFFF"/>
          <w:lang w:val="en-US" w:eastAsia="zh-CN" w:bidi="ar"/>
        </w:rPr>
        <w:br w:type="textWrapping"/>
      </w:r>
      <w:r>
        <w:rPr>
          <w:rFonts w:hint="eastAsia" w:ascii="黑体" w:hAnsi="黑体" w:eastAsia="黑体" w:cs="黑体"/>
          <w:i w:val="0"/>
          <w:iCs w:val="0"/>
          <w:caps w:val="0"/>
          <w:color w:val="1C1F23"/>
          <w:spacing w:val="0"/>
          <w:kern w:val="0"/>
          <w:sz w:val="27"/>
          <w:szCs w:val="27"/>
          <w:shd w:val="clear" w:fill="FFFFFF"/>
          <w:lang w:val="en-US" w:eastAsia="zh-CN" w:bidi="ar"/>
        </w:rPr>
        <w:t>A5: Loose lamination or damaged insulation leads to vibration, requiring re-tightening or replacement.</w:t>
      </w:r>
    </w:p>
    <w:p w14:paraId="7AB6431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42" w:beforeAutospacing="0"/>
        <w:ind w:left="0" w:firstLine="0"/>
        <w:jc w:val="left"/>
        <w:rPr>
          <w:rFonts w:hint="default" w:ascii="var(--s-font-base)" w:hAnsi="var(--s-font-base)" w:eastAsia="var(--s-font-base)" w:cs="var(--s-font-base)"/>
          <w:i w:val="0"/>
          <w:iCs w:val="0"/>
          <w:caps w:val="0"/>
          <w:color w:val="1C1F23"/>
          <w:spacing w:val="0"/>
          <w:sz w:val="27"/>
          <w:szCs w:val="27"/>
        </w:rPr>
      </w:pPr>
    </w:p>
    <w:p w14:paraId="58312046">
      <w:pPr>
        <w:keepNext w:val="0"/>
        <w:keepLines w:val="0"/>
        <w:widowControl/>
        <w:suppressLineNumbers w:val="0"/>
        <w:shd w:val="clear" w:fill="FFFFFF"/>
        <w:ind w:left="0" w:firstLine="0"/>
        <w:jc w:val="left"/>
        <w:rPr>
          <w:rFonts w:ascii="Segoe UI" w:hAnsi="Segoe UI" w:eastAsia="Segoe UI" w:cs="Segoe UI"/>
          <w:i w:val="0"/>
          <w:iCs w:val="0"/>
          <w:caps w:val="0"/>
          <w:color w:val="1C1F23"/>
          <w:spacing w:val="0"/>
          <w:sz w:val="27"/>
          <w:szCs w:val="27"/>
        </w:rPr>
      </w:pPr>
    </w:p>
    <w:p w14:paraId="777813DE"/>
    <w:bookmarkEnd w:id="0"/>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ar(--s-font-bas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auto"/>
    <w:pitch w:val="default"/>
    <w:sig w:usb0="E4002EFF" w:usb1="C000E47F" w:usb2="00000009" w:usb3="00000000" w:csb0="200001FF" w:csb1="00000000"/>
  </w:font>
  <w:font w:name="Symbol">
    <w:panose1 w:val="050501020107060205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083A03"/>
    <w:multiLevelType w:val="multilevel"/>
    <w:tmpl w:val="4E083A03"/>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
    <w:nsid w:val="76CA502E"/>
    <w:multiLevelType w:val="multilevel"/>
    <w:tmpl w:val="76CA502E"/>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441194"/>
    <w:rsid w:val="062E6E78"/>
    <w:rsid w:val="2D4411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460</Words>
  <Characters>2628</Characters>
  <Lines>0</Lines>
  <Paragraphs>0</Paragraphs>
  <TotalTime>9</TotalTime>
  <ScaleCrop>false</ScaleCrop>
  <LinksUpToDate>false</LinksUpToDate>
  <CharactersWithSpaces>3028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2025-07-02T08:21:00Z</dcterms:created>
  <dc:creator>Administrator</dc:creator>
  <cp:lastModifiedBy>Administrator</cp:lastModifiedBy>
  <dcterms:modified xsi:type="dcterms:W3CDTF">2025-07-03T07:25:33Z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932F31A89CE4470BB1C30B5E66A5F887_11</vt:lpwstr>
  </property>
  <property fmtid="{D5CDD505-2E9C-101B-9397-08002B2CF9AE}" pid="4" name="KSOTemplateDocerSaveRecord">
    <vt:lpwstr>eyJoZGlkIjoiNmY3OTg3MGU1YjYyMWRlZmZlZjVhM2QzYTNjNWNkYTkifQ==</vt:lpwstr>
  </property>
</Properties>
</file>