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C06FBB">
      <w:pPr>
        <w:pStyle w:val="2"/>
        <w:keepNext w:val="0"/>
        <w:keepLines w:val="0"/>
        <w:widowControl/>
        <w:suppressLineNumbers w:val="0"/>
        <w:ind w:left="0" w:leftChars="0" w:firstLine="482" w:firstLineChars="200"/>
      </w:pPr>
      <w:r>
        <w:rPr>
          <w:rStyle w:val="5"/>
        </w:rPr>
        <w:t>Introduction</w:t>
      </w:r>
      <w:r>
        <w:br w:type="textWrapping"/>
      </w:r>
      <w:r>
        <w:t>This conveyor belt motor core is designed specifically for coal mine conveyors, offering rated power options from 5.5kW to 200kW. With vertical installation, it adapts to different conveyor layouts while maintaining high safety standards.</w:t>
      </w:r>
    </w:p>
    <w:p w14:paraId="6510F1B5">
      <w:pPr>
        <w:pStyle w:val="2"/>
        <w:keepNext w:val="0"/>
        <w:keepLines w:val="0"/>
        <w:widowControl/>
        <w:suppressLineNumbers w:val="0"/>
        <w:ind w:left="0" w:leftChars="0" w:firstLine="482" w:firstLineChars="200"/>
      </w:pPr>
      <w:r>
        <w:rPr>
          <w:rStyle w:val="5"/>
        </w:rPr>
        <w:t>Applications</w:t>
      </w:r>
    </w:p>
    <w:p w14:paraId="06B17580">
      <w:pPr>
        <w:pStyle w:val="2"/>
        <w:keepNext w:val="0"/>
        <w:keepLines w:val="0"/>
        <w:widowControl/>
        <w:suppressLineNumbers w:val="0"/>
        <w:ind w:left="720" w:leftChars="0" w:firstLine="480" w:firstLineChars="200"/>
      </w:pPr>
      <w:r>
        <w:t>Coal mine belt conveyors in underground operations.</w:t>
      </w:r>
    </w:p>
    <w:p w14:paraId="360CD702">
      <w:pPr>
        <w:pStyle w:val="2"/>
        <w:keepNext w:val="0"/>
        <w:keepLines w:val="0"/>
        <w:widowControl/>
        <w:suppressLineNumbers w:val="0"/>
        <w:ind w:left="720" w:leftChars="0" w:firstLine="480" w:firstLineChars="200"/>
      </w:pPr>
      <w:r>
        <w:t>Vertical conveyor configurations for limited spaces.</w:t>
      </w:r>
    </w:p>
    <w:p w14:paraId="366DCD5A">
      <w:pPr>
        <w:pStyle w:val="2"/>
        <w:keepNext w:val="0"/>
        <w:keepLines w:val="0"/>
        <w:widowControl/>
        <w:suppressLineNumbers w:val="0"/>
        <w:ind w:left="720" w:leftChars="0" w:firstLine="480" w:firstLineChars="200"/>
      </w:pPr>
      <w:r>
        <w:t>Flameproof certified applications requiring safe material transport.</w:t>
      </w:r>
    </w:p>
    <w:p w14:paraId="65229919">
      <w:pPr>
        <w:pStyle w:val="2"/>
        <w:keepNext w:val="0"/>
        <w:keepLines w:val="0"/>
        <w:widowControl/>
        <w:suppressLineNumbers w:val="0"/>
        <w:ind w:left="0" w:leftChars="0" w:firstLine="482" w:firstLineChars="200"/>
      </w:pPr>
      <w:r>
        <w:rPr>
          <w:rStyle w:val="5"/>
        </w:rPr>
        <w:t>Key Advantages</w:t>
      </w:r>
    </w:p>
    <w:p w14:paraId="584B56D5">
      <w:pPr>
        <w:pStyle w:val="2"/>
        <w:keepNext w:val="0"/>
        <w:keepLines w:val="0"/>
        <w:widowControl/>
        <w:suppressLineNumbers w:val="0"/>
        <w:ind w:left="720" w:leftChars="0" w:firstLine="480" w:firstLineChars="200"/>
      </w:pPr>
      <w:r>
        <w:t>Wide power range: 5.5kW–200kW for flexible selection.</w:t>
      </w:r>
    </w:p>
    <w:p w14:paraId="6B375043">
      <w:pPr>
        <w:pStyle w:val="2"/>
        <w:keepNext w:val="0"/>
        <w:keepLines w:val="0"/>
        <w:widowControl/>
        <w:suppressLineNumbers w:val="0"/>
        <w:ind w:left="720" w:leftChars="0" w:firstLine="480" w:firstLineChars="200"/>
      </w:pPr>
      <w:r>
        <w:t>Vertical installation suitable for compact conveyors.</w:t>
      </w:r>
    </w:p>
    <w:p w14:paraId="17C001F0">
      <w:pPr>
        <w:pStyle w:val="2"/>
        <w:keepNext w:val="0"/>
        <w:keepLines w:val="0"/>
        <w:widowControl/>
        <w:suppressLineNumbers w:val="0"/>
        <w:ind w:left="720" w:leftChars="0" w:firstLine="480" w:firstLineChars="200"/>
      </w:pPr>
      <w:r>
        <w:t>Ex d I Mb explosion-proof certification ensures compliance.</w:t>
      </w:r>
    </w:p>
    <w:p w14:paraId="7E06E5C4">
      <w:pPr>
        <w:pStyle w:val="2"/>
        <w:keepNext w:val="0"/>
        <w:keepLines w:val="0"/>
        <w:widowControl/>
        <w:suppressLineNumbers w:val="0"/>
        <w:ind w:left="720" w:leftChars="0" w:firstLine="480" w:firstLineChars="200"/>
      </w:pPr>
      <w:r>
        <w:t>Low heat rise, long service life design.</w:t>
      </w:r>
    </w:p>
    <w:p w14:paraId="078C4657">
      <w:pPr>
        <w:pStyle w:val="2"/>
        <w:keepNext w:val="0"/>
        <w:keepLines w:val="0"/>
        <w:widowControl/>
        <w:suppressLineNumbers w:val="0"/>
        <w:ind w:left="0" w:leftChars="0" w:firstLine="482" w:firstLineChars="200"/>
      </w:pPr>
      <w:r>
        <w:rPr>
          <w:rStyle w:val="5"/>
        </w:rPr>
        <w:t>Specification Table</w:t>
      </w:r>
    </w:p>
    <w:tbl>
      <w:tblPr>
        <w:tblStyle w:val="3"/>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995"/>
        <w:gridCol w:w="1755"/>
      </w:tblGrid>
      <w:tr w14:paraId="50135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blHeader/>
          <w:tblCellSpacing w:w="15" w:type="dxa"/>
        </w:trPr>
        <w:tc>
          <w:tcPr>
            <w:tcW w:w="0" w:type="auto"/>
            <w:shd w:val="clear" w:color="auto" w:fill="auto"/>
            <w:vAlign w:val="center"/>
          </w:tcPr>
          <w:p w14:paraId="67AC23A8">
            <w:pPr>
              <w:keepNext w:val="0"/>
              <w:keepLines w:val="0"/>
              <w:widowControl/>
              <w:suppressLineNumbers w:val="0"/>
              <w:ind w:left="0" w:leftChars="0"/>
              <w:jc w:val="center"/>
              <w:rPr>
                <w:b/>
                <w:bCs/>
              </w:rPr>
            </w:pPr>
            <w:r>
              <w:rPr>
                <w:rFonts w:ascii="宋体" w:hAnsi="宋体" w:eastAsia="宋体" w:cs="宋体"/>
                <w:b/>
                <w:bCs/>
                <w:kern w:val="0"/>
                <w:sz w:val="24"/>
                <w:szCs w:val="24"/>
                <w:lang w:val="en-US" w:eastAsia="zh-CN" w:bidi="ar"/>
              </w:rPr>
              <w:t>Parameter</w:t>
            </w:r>
          </w:p>
        </w:tc>
        <w:tc>
          <w:tcPr>
            <w:tcW w:w="0" w:type="auto"/>
            <w:shd w:val="clear" w:color="auto" w:fill="auto"/>
            <w:vAlign w:val="center"/>
          </w:tcPr>
          <w:p w14:paraId="5D381FF0">
            <w:pPr>
              <w:keepNext w:val="0"/>
              <w:keepLines w:val="0"/>
              <w:widowControl/>
              <w:suppressLineNumbers w:val="0"/>
              <w:ind w:left="0" w:leftChars="0"/>
              <w:jc w:val="center"/>
              <w:rPr>
                <w:b/>
                <w:bCs/>
              </w:rPr>
            </w:pPr>
            <w:r>
              <w:rPr>
                <w:rFonts w:ascii="宋体" w:hAnsi="宋体" w:eastAsia="宋体" w:cs="宋体"/>
                <w:b/>
                <w:bCs/>
                <w:kern w:val="0"/>
                <w:sz w:val="24"/>
                <w:szCs w:val="24"/>
                <w:lang w:val="en-US" w:eastAsia="zh-CN" w:bidi="ar"/>
              </w:rPr>
              <w:t>Value</w:t>
            </w:r>
          </w:p>
        </w:tc>
      </w:tr>
      <w:tr w14:paraId="4EBFB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center"/>
          </w:tcPr>
          <w:p w14:paraId="269F8047">
            <w:pPr>
              <w:keepNext w:val="0"/>
              <w:keepLines w:val="0"/>
              <w:widowControl/>
              <w:suppressLineNumbers w:val="0"/>
              <w:ind w:left="0" w:leftChars="0"/>
              <w:jc w:val="left"/>
            </w:pPr>
            <w:r>
              <w:rPr>
                <w:rFonts w:ascii="宋体" w:hAnsi="宋体" w:eastAsia="宋体" w:cs="宋体"/>
                <w:kern w:val="0"/>
                <w:sz w:val="24"/>
                <w:szCs w:val="24"/>
                <w:lang w:val="en-US" w:eastAsia="zh-CN" w:bidi="ar"/>
              </w:rPr>
              <w:t>Rated Power</w:t>
            </w:r>
          </w:p>
        </w:tc>
        <w:tc>
          <w:tcPr>
            <w:tcW w:w="0" w:type="auto"/>
            <w:shd w:val="clear" w:color="auto" w:fill="auto"/>
            <w:vAlign w:val="center"/>
          </w:tcPr>
          <w:p w14:paraId="3240DE60">
            <w:pPr>
              <w:keepNext w:val="0"/>
              <w:keepLines w:val="0"/>
              <w:widowControl/>
              <w:suppressLineNumbers w:val="0"/>
              <w:ind w:left="0" w:leftChars="0"/>
              <w:jc w:val="left"/>
            </w:pPr>
            <w:r>
              <w:rPr>
                <w:rFonts w:ascii="宋体" w:hAnsi="宋体" w:eastAsia="宋体" w:cs="宋体"/>
                <w:kern w:val="0"/>
                <w:sz w:val="24"/>
                <w:szCs w:val="24"/>
                <w:lang w:val="en-US" w:eastAsia="zh-CN" w:bidi="ar"/>
              </w:rPr>
              <w:t>5.5kW – 200kW</w:t>
            </w:r>
          </w:p>
        </w:tc>
      </w:tr>
      <w:tr w14:paraId="227AB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6CF57D7">
            <w:pPr>
              <w:keepNext w:val="0"/>
              <w:keepLines w:val="0"/>
              <w:widowControl/>
              <w:suppressLineNumbers w:val="0"/>
              <w:ind w:left="0" w:leftChars="0"/>
              <w:jc w:val="left"/>
            </w:pPr>
            <w:r>
              <w:rPr>
                <w:rFonts w:ascii="宋体" w:hAnsi="宋体" w:eastAsia="宋体" w:cs="宋体"/>
                <w:kern w:val="0"/>
                <w:sz w:val="24"/>
                <w:szCs w:val="24"/>
                <w:lang w:val="en-US" w:eastAsia="zh-CN" w:bidi="ar"/>
              </w:rPr>
              <w:t>Rated Voltage</w:t>
            </w:r>
          </w:p>
        </w:tc>
        <w:tc>
          <w:tcPr>
            <w:tcW w:w="0" w:type="auto"/>
            <w:shd w:val="clear" w:color="auto" w:fill="auto"/>
            <w:vAlign w:val="center"/>
          </w:tcPr>
          <w:p w14:paraId="02B4C104">
            <w:pPr>
              <w:keepNext w:val="0"/>
              <w:keepLines w:val="0"/>
              <w:widowControl/>
              <w:suppressLineNumbers w:val="0"/>
              <w:ind w:left="0" w:leftChars="0"/>
              <w:jc w:val="left"/>
            </w:pPr>
            <w:r>
              <w:rPr>
                <w:rFonts w:ascii="宋体" w:hAnsi="宋体" w:eastAsia="宋体" w:cs="宋体"/>
                <w:kern w:val="0"/>
                <w:sz w:val="24"/>
                <w:szCs w:val="24"/>
                <w:lang w:val="en-US" w:eastAsia="zh-CN" w:bidi="ar"/>
              </w:rPr>
              <w:t>380V/660V</w:t>
            </w:r>
          </w:p>
        </w:tc>
      </w:tr>
      <w:tr w14:paraId="4942E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center"/>
          </w:tcPr>
          <w:p w14:paraId="6DAF66D1">
            <w:pPr>
              <w:keepNext w:val="0"/>
              <w:keepLines w:val="0"/>
              <w:widowControl/>
              <w:suppressLineNumbers w:val="0"/>
              <w:ind w:left="0" w:leftChars="0"/>
              <w:jc w:val="left"/>
            </w:pPr>
            <w:r>
              <w:rPr>
                <w:rFonts w:ascii="宋体" w:hAnsi="宋体" w:eastAsia="宋体" w:cs="宋体"/>
                <w:kern w:val="0"/>
                <w:sz w:val="24"/>
                <w:szCs w:val="24"/>
                <w:lang w:val="en-US" w:eastAsia="zh-CN" w:bidi="ar"/>
              </w:rPr>
              <w:t>Installation</w:t>
            </w:r>
          </w:p>
        </w:tc>
        <w:tc>
          <w:tcPr>
            <w:tcW w:w="0" w:type="auto"/>
            <w:shd w:val="clear" w:color="auto" w:fill="auto"/>
            <w:vAlign w:val="center"/>
          </w:tcPr>
          <w:p w14:paraId="174AF197">
            <w:pPr>
              <w:keepNext w:val="0"/>
              <w:keepLines w:val="0"/>
              <w:widowControl/>
              <w:suppressLineNumbers w:val="0"/>
              <w:ind w:left="0" w:leftChars="0"/>
              <w:jc w:val="left"/>
            </w:pPr>
            <w:r>
              <w:rPr>
                <w:rFonts w:ascii="宋体" w:hAnsi="宋体" w:eastAsia="宋体" w:cs="宋体"/>
                <w:kern w:val="0"/>
                <w:sz w:val="24"/>
                <w:szCs w:val="24"/>
                <w:lang w:val="en-US" w:eastAsia="zh-CN" w:bidi="ar"/>
              </w:rPr>
              <w:t>Vertical</w:t>
            </w:r>
          </w:p>
        </w:tc>
      </w:tr>
      <w:tr w14:paraId="44993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center"/>
          </w:tcPr>
          <w:p w14:paraId="0CFBE2C2">
            <w:pPr>
              <w:keepNext w:val="0"/>
              <w:keepLines w:val="0"/>
              <w:widowControl/>
              <w:suppressLineNumbers w:val="0"/>
              <w:ind w:left="0" w:leftChars="0"/>
              <w:jc w:val="left"/>
            </w:pPr>
            <w:r>
              <w:rPr>
                <w:rFonts w:ascii="宋体" w:hAnsi="宋体" w:eastAsia="宋体" w:cs="宋体"/>
                <w:kern w:val="0"/>
                <w:sz w:val="24"/>
                <w:szCs w:val="24"/>
                <w:lang w:val="en-US" w:eastAsia="zh-CN" w:bidi="ar"/>
              </w:rPr>
              <w:t>Explosion Proof</w:t>
            </w:r>
          </w:p>
        </w:tc>
        <w:tc>
          <w:tcPr>
            <w:tcW w:w="0" w:type="auto"/>
            <w:shd w:val="clear" w:color="auto" w:fill="auto"/>
            <w:vAlign w:val="center"/>
          </w:tcPr>
          <w:p w14:paraId="20363AC2">
            <w:pPr>
              <w:keepNext w:val="0"/>
              <w:keepLines w:val="0"/>
              <w:widowControl/>
              <w:suppressLineNumbers w:val="0"/>
              <w:ind w:left="0" w:leftChars="0"/>
              <w:jc w:val="left"/>
            </w:pPr>
            <w:r>
              <w:rPr>
                <w:rFonts w:ascii="宋体" w:hAnsi="宋体" w:eastAsia="宋体" w:cs="宋体"/>
                <w:kern w:val="0"/>
                <w:sz w:val="24"/>
                <w:szCs w:val="24"/>
                <w:lang w:val="en-US" w:eastAsia="zh-CN" w:bidi="ar"/>
              </w:rPr>
              <w:t>Ex d I Mb</w:t>
            </w:r>
          </w:p>
        </w:tc>
      </w:tr>
      <w:tr w14:paraId="5752D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center"/>
          </w:tcPr>
          <w:p w14:paraId="18E62C64">
            <w:pPr>
              <w:keepNext w:val="0"/>
              <w:keepLines w:val="0"/>
              <w:widowControl/>
              <w:suppressLineNumbers w:val="0"/>
              <w:ind w:left="0" w:leftChars="0"/>
              <w:jc w:val="left"/>
            </w:pPr>
            <w:r>
              <w:rPr>
                <w:rFonts w:ascii="宋体" w:hAnsi="宋体" w:eastAsia="宋体" w:cs="宋体"/>
                <w:kern w:val="0"/>
                <w:sz w:val="24"/>
                <w:szCs w:val="24"/>
                <w:lang w:val="en-US" w:eastAsia="zh-CN" w:bidi="ar"/>
              </w:rPr>
              <w:t>Protection Class</w:t>
            </w:r>
          </w:p>
        </w:tc>
        <w:tc>
          <w:tcPr>
            <w:tcW w:w="0" w:type="auto"/>
            <w:shd w:val="clear" w:color="auto" w:fill="auto"/>
            <w:vAlign w:val="center"/>
          </w:tcPr>
          <w:p w14:paraId="214F3F36">
            <w:pPr>
              <w:keepNext w:val="0"/>
              <w:keepLines w:val="0"/>
              <w:widowControl/>
              <w:suppressLineNumbers w:val="0"/>
              <w:ind w:left="0" w:leftChars="0"/>
              <w:jc w:val="left"/>
            </w:pPr>
            <w:r>
              <w:rPr>
                <w:rFonts w:ascii="宋体" w:hAnsi="宋体" w:eastAsia="宋体" w:cs="宋体"/>
                <w:kern w:val="0"/>
                <w:sz w:val="24"/>
                <w:szCs w:val="24"/>
                <w:lang w:val="en-US" w:eastAsia="zh-CN" w:bidi="ar"/>
              </w:rPr>
              <w:t>IP55</w:t>
            </w:r>
          </w:p>
        </w:tc>
      </w:tr>
    </w:tbl>
    <w:p w14:paraId="2D224574">
      <w:pPr>
        <w:pStyle w:val="2"/>
        <w:keepNext w:val="0"/>
        <w:keepLines w:val="0"/>
        <w:widowControl/>
        <w:suppressLineNumbers w:val="0"/>
        <w:ind w:left="0" w:leftChars="0" w:firstLine="482" w:firstLineChars="200"/>
      </w:pPr>
      <w:r>
        <w:rPr>
          <w:rStyle w:val="5"/>
        </w:rPr>
        <w:t>Production Process</w:t>
      </w:r>
      <w:r>
        <w:br w:type="textWrapping"/>
      </w:r>
      <w:r>
        <w:t>Material inspection → Lamination and assembly → Coil winding → Vertical mounting test → Factory certification.</w:t>
      </w:r>
    </w:p>
    <w:p w14:paraId="4DA1D0A9">
      <w:pPr>
        <w:pStyle w:val="2"/>
        <w:keepNext w:val="0"/>
        <w:keepLines w:val="0"/>
        <w:widowControl/>
        <w:suppressLineNumbers w:val="0"/>
        <w:ind w:left="0" w:leftChars="0" w:firstLine="482" w:firstLineChars="200"/>
      </w:pPr>
      <w:r>
        <w:rPr>
          <w:rStyle w:val="5"/>
        </w:rPr>
        <w:t>After-Sales Service</w:t>
      </w:r>
      <w:r>
        <w:br w:type="textWrapping"/>
      </w:r>
      <w:r>
        <w:t>Warranty and extended service contracts, plus on-site coal mine installation support.</w:t>
      </w:r>
    </w:p>
    <w:p w14:paraId="6186972C">
      <w:pPr>
        <w:pStyle w:val="2"/>
        <w:keepNext w:val="0"/>
        <w:keepLines w:val="0"/>
        <w:widowControl/>
        <w:suppressLineNumbers w:val="0"/>
        <w:ind w:left="0" w:leftChars="0" w:firstLine="482" w:firstLineChars="200"/>
      </w:pPr>
      <w:r>
        <w:rPr>
          <w:rStyle w:val="5"/>
        </w:rPr>
        <w:t>FAQ</w:t>
      </w:r>
      <w:r>
        <w:br w:type="textWrapping"/>
      </w:r>
      <w:r>
        <w:t>Q1: Is it suitable for high-load coal conveyors?</w:t>
      </w:r>
      <w:r>
        <w:br w:type="textWrapping"/>
      </w:r>
      <w:r>
        <w:t>A1: Yes, the high-torque design supports heavy-load continuous transportation.</w:t>
      </w:r>
    </w:p>
    <w:p w14:paraId="5FCBF84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8E1266"/>
    <w:rsid w:val="788E1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2025-09-09T08:08:00Z</dcterms:created>
  <dc:creator>Administrator</dc:creator>
  <cp:lastModifiedBy>Administrator</cp:lastModifiedBy>
  <dcterms:modified xsi:type="dcterms:W3CDTF">2025-09-09T08:09:15Z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F7934A17506A455CBBF0C208968AD67B_11</vt:lpwstr>
  </property>
  <property fmtid="{D5CDD505-2E9C-101B-9397-08002B2CF9AE}" pid="4" name="KSOTemplateDocerSaveRecord">
    <vt:lpwstr>eyJoZGlkIjoiNmY3OTg3MGU1YjYyMWRlZmZlZjVhM2QzYTNjNWNkYTkifQ==</vt:lpwstr>
  </property>
</Properties>
</file>