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EE3033">
      <w:pPr>
        <w:pStyle w:val="2"/>
        <w:keepNext w:val="0"/>
        <w:keepLines w:val="0"/>
        <w:widowControl/>
        <w:suppressLineNumbers w:val="0"/>
        <w:ind w:left="0" w:leftChars="0" w:firstLine="482" w:firstLineChars="200"/>
      </w:pPr>
      <w:r>
        <w:rPr>
          <w:rStyle w:val="5"/>
        </w:rPr>
        <w:t>Introduction</w:t>
      </w:r>
      <w:r>
        <w:br w:type="textWrapping"/>
      </w:r>
      <w:r>
        <w:t>This conveyor belt motor core is designed for continuous ore operations where durability and efficiency are critical. Supporting both horizontal and vertical installation, it can adapt to various mining conveyor systems. With a rated power of 200kW, it provides strong driving force for demanding bulk material transportation.</w:t>
      </w:r>
    </w:p>
    <w:p w14:paraId="21029AAE">
      <w:pPr>
        <w:pStyle w:val="2"/>
        <w:keepNext w:val="0"/>
        <w:keepLines w:val="0"/>
        <w:widowControl/>
        <w:suppressLineNumbers w:val="0"/>
        <w:ind w:left="0" w:leftChars="0" w:firstLine="482" w:firstLineChars="200"/>
      </w:pPr>
      <w:r>
        <w:rPr>
          <w:rStyle w:val="5"/>
        </w:rPr>
        <w:t>Applications</w:t>
      </w:r>
    </w:p>
    <w:p w14:paraId="11DC4FCE">
      <w:pPr>
        <w:pStyle w:val="2"/>
        <w:keepNext w:val="0"/>
        <w:keepLines w:val="0"/>
        <w:widowControl/>
        <w:suppressLineNumbers w:val="0"/>
        <w:ind w:left="720" w:leftChars="0" w:firstLine="480" w:firstLineChars="200"/>
      </w:pPr>
      <w:r>
        <w:t>Continuous ore handling in mining operations.</w:t>
      </w:r>
    </w:p>
    <w:p w14:paraId="1D0D0ACD">
      <w:pPr>
        <w:pStyle w:val="2"/>
        <w:keepNext w:val="0"/>
        <w:keepLines w:val="0"/>
        <w:widowControl/>
        <w:suppressLineNumbers w:val="0"/>
        <w:ind w:left="720" w:leftChars="0" w:firstLine="480" w:firstLineChars="200"/>
      </w:pPr>
      <w:r>
        <w:t>Long-distance conveyors for heavy-duty ore transport.</w:t>
      </w:r>
    </w:p>
    <w:p w14:paraId="25A9CE5A">
      <w:pPr>
        <w:pStyle w:val="2"/>
        <w:keepNext w:val="0"/>
        <w:keepLines w:val="0"/>
        <w:widowControl/>
        <w:suppressLineNumbers w:val="0"/>
        <w:ind w:left="720" w:leftChars="0" w:firstLine="480" w:firstLineChars="200"/>
      </w:pPr>
      <w:r>
        <w:t>Mining facilities requiring high-torque explosion-proof motors.</w:t>
      </w:r>
    </w:p>
    <w:p w14:paraId="6CE8A8AA">
      <w:pPr>
        <w:pStyle w:val="2"/>
        <w:keepNext w:val="0"/>
        <w:keepLines w:val="0"/>
        <w:widowControl/>
        <w:suppressLineNumbers w:val="0"/>
        <w:ind w:left="0" w:leftChars="0" w:firstLine="482" w:firstLineChars="200"/>
      </w:pPr>
      <w:r>
        <w:rPr>
          <w:rStyle w:val="5"/>
        </w:rPr>
        <w:t>Key Advantages</w:t>
      </w:r>
    </w:p>
    <w:p w14:paraId="6EEBB148">
      <w:pPr>
        <w:pStyle w:val="2"/>
        <w:keepNext w:val="0"/>
        <w:keepLines w:val="0"/>
        <w:widowControl/>
        <w:suppressLineNumbers w:val="0"/>
        <w:ind w:left="720" w:leftChars="0" w:firstLine="480" w:firstLineChars="200"/>
      </w:pPr>
      <w:r>
        <w:t>Dual installation design: horizontal or vertical.</w:t>
      </w:r>
    </w:p>
    <w:p w14:paraId="004F9A83">
      <w:pPr>
        <w:pStyle w:val="2"/>
        <w:keepNext w:val="0"/>
        <w:keepLines w:val="0"/>
        <w:widowControl/>
        <w:suppressLineNumbers w:val="0"/>
        <w:ind w:left="720" w:leftChars="0" w:firstLine="480" w:firstLineChars="200"/>
      </w:pPr>
      <w:r>
        <w:t>High power up to 200kW for continuous heavy-duty operation.</w:t>
      </w:r>
    </w:p>
    <w:p w14:paraId="2EB414AA">
      <w:pPr>
        <w:pStyle w:val="2"/>
        <w:keepNext w:val="0"/>
        <w:keepLines w:val="0"/>
        <w:widowControl/>
        <w:suppressLineNumbers w:val="0"/>
        <w:ind w:left="720" w:leftChars="0" w:firstLine="480" w:firstLineChars="200"/>
      </w:pPr>
      <w:r>
        <w:t>Ex d I Mb explosion-proof certification.</w:t>
      </w:r>
    </w:p>
    <w:p w14:paraId="33B8DFAA">
      <w:pPr>
        <w:pStyle w:val="2"/>
        <w:keepNext w:val="0"/>
        <w:keepLines w:val="0"/>
        <w:widowControl/>
        <w:suppressLineNumbers w:val="0"/>
        <w:ind w:left="720" w:leftChars="0" w:firstLine="480" w:firstLineChars="200"/>
      </w:pPr>
      <w:r>
        <w:t>Energy-efficient design reduces power consumption.</w:t>
      </w:r>
    </w:p>
    <w:p w14:paraId="241C494F">
      <w:pPr>
        <w:pStyle w:val="2"/>
        <w:keepNext w:val="0"/>
        <w:keepLines w:val="0"/>
        <w:widowControl/>
        <w:suppressLineNumbers w:val="0"/>
        <w:ind w:left="0" w:leftChars="0" w:firstLine="482" w:firstLineChars="200"/>
      </w:pPr>
      <w:r>
        <w:rPr>
          <w:rStyle w:val="5"/>
        </w:rPr>
        <w:t>Specification Table</w:t>
      </w:r>
    </w:p>
    <w:tbl>
      <w:tblPr>
        <w:tblStyle w:val="3"/>
        <w:tblW w:w="0" w:type="auto"/>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1995"/>
        <w:gridCol w:w="2355"/>
      </w:tblGrid>
      <w:tr w14:paraId="3C296D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Header/>
          <w:tblCellSpacing w:w="15" w:type="dxa"/>
        </w:trPr>
        <w:tc>
          <w:tcPr>
            <w:tcW w:w="0" w:type="auto"/>
            <w:shd w:val="clear" w:color="auto" w:fill="auto"/>
            <w:vAlign w:val="center"/>
          </w:tcPr>
          <w:p w14:paraId="06E520BA">
            <w:pPr>
              <w:keepNext w:val="0"/>
              <w:keepLines w:val="0"/>
              <w:widowControl/>
              <w:suppressLineNumbers w:val="0"/>
              <w:ind w:left="0" w:leftChars="0"/>
              <w:jc w:val="center"/>
              <w:rPr>
                <w:b/>
                <w:bCs/>
              </w:rPr>
            </w:pPr>
            <w:r>
              <w:rPr>
                <w:rFonts w:ascii="宋体" w:hAnsi="宋体" w:eastAsia="宋体" w:cs="宋体"/>
                <w:b/>
                <w:bCs/>
                <w:kern w:val="0"/>
                <w:sz w:val="24"/>
                <w:szCs w:val="24"/>
                <w:lang w:val="en-US" w:eastAsia="zh-CN" w:bidi="ar"/>
              </w:rPr>
              <w:t>Parameter</w:t>
            </w:r>
          </w:p>
        </w:tc>
        <w:tc>
          <w:tcPr>
            <w:tcW w:w="0" w:type="auto"/>
            <w:shd w:val="clear" w:color="auto" w:fill="auto"/>
            <w:vAlign w:val="center"/>
          </w:tcPr>
          <w:p w14:paraId="5B9CC5EE">
            <w:pPr>
              <w:keepNext w:val="0"/>
              <w:keepLines w:val="0"/>
              <w:widowControl/>
              <w:suppressLineNumbers w:val="0"/>
              <w:ind w:left="0" w:leftChars="0"/>
              <w:jc w:val="center"/>
              <w:rPr>
                <w:b/>
                <w:bCs/>
              </w:rPr>
            </w:pPr>
            <w:r>
              <w:rPr>
                <w:rFonts w:ascii="宋体" w:hAnsi="宋体" w:eastAsia="宋体" w:cs="宋体"/>
                <w:b/>
                <w:bCs/>
                <w:kern w:val="0"/>
                <w:sz w:val="24"/>
                <w:szCs w:val="24"/>
                <w:lang w:val="en-US" w:eastAsia="zh-CN" w:bidi="ar"/>
              </w:rPr>
              <w:t>Value</w:t>
            </w:r>
          </w:p>
        </w:tc>
      </w:tr>
      <w:tr w14:paraId="4FA301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color="auto" w:fill="auto"/>
            <w:vAlign w:val="center"/>
          </w:tcPr>
          <w:p w14:paraId="09BEF333">
            <w:pPr>
              <w:keepNext w:val="0"/>
              <w:keepLines w:val="0"/>
              <w:widowControl/>
              <w:suppressLineNumbers w:val="0"/>
              <w:ind w:left="0" w:leftChars="0"/>
              <w:jc w:val="left"/>
            </w:pPr>
            <w:r>
              <w:rPr>
                <w:rFonts w:ascii="宋体" w:hAnsi="宋体" w:eastAsia="宋体" w:cs="宋体"/>
                <w:kern w:val="0"/>
                <w:sz w:val="24"/>
                <w:szCs w:val="24"/>
                <w:lang w:val="en-US" w:eastAsia="zh-CN" w:bidi="ar"/>
              </w:rPr>
              <w:t>Rated Voltage</w:t>
            </w:r>
          </w:p>
        </w:tc>
        <w:tc>
          <w:tcPr>
            <w:tcW w:w="0" w:type="auto"/>
            <w:shd w:val="clear" w:color="auto" w:fill="auto"/>
            <w:vAlign w:val="center"/>
          </w:tcPr>
          <w:p w14:paraId="3F6A5B4A">
            <w:pPr>
              <w:keepNext w:val="0"/>
              <w:keepLines w:val="0"/>
              <w:widowControl/>
              <w:suppressLineNumbers w:val="0"/>
              <w:ind w:left="0" w:leftChars="0"/>
              <w:jc w:val="left"/>
            </w:pPr>
            <w:r>
              <w:rPr>
                <w:rFonts w:ascii="宋体" w:hAnsi="宋体" w:eastAsia="宋体" w:cs="宋体"/>
                <w:kern w:val="0"/>
                <w:sz w:val="24"/>
                <w:szCs w:val="24"/>
                <w:lang w:val="en-US" w:eastAsia="zh-CN" w:bidi="ar"/>
              </w:rPr>
              <w:t>380V/660V</w:t>
            </w:r>
          </w:p>
        </w:tc>
      </w:tr>
      <w:tr w14:paraId="3C5C77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color="auto" w:fill="auto"/>
            <w:vAlign w:val="center"/>
          </w:tcPr>
          <w:p w14:paraId="10D199A0">
            <w:pPr>
              <w:keepNext w:val="0"/>
              <w:keepLines w:val="0"/>
              <w:widowControl/>
              <w:suppressLineNumbers w:val="0"/>
              <w:ind w:left="0" w:leftChars="0"/>
              <w:jc w:val="left"/>
            </w:pPr>
            <w:r>
              <w:rPr>
                <w:rFonts w:ascii="宋体" w:hAnsi="宋体" w:eastAsia="宋体" w:cs="宋体"/>
                <w:kern w:val="0"/>
                <w:sz w:val="24"/>
                <w:szCs w:val="24"/>
                <w:lang w:val="en-US" w:eastAsia="zh-CN" w:bidi="ar"/>
              </w:rPr>
              <w:t>Rated Power</w:t>
            </w:r>
          </w:p>
        </w:tc>
        <w:tc>
          <w:tcPr>
            <w:tcW w:w="0" w:type="auto"/>
            <w:shd w:val="clear" w:color="auto" w:fill="auto"/>
            <w:vAlign w:val="center"/>
          </w:tcPr>
          <w:p w14:paraId="3F3612DB">
            <w:pPr>
              <w:keepNext w:val="0"/>
              <w:keepLines w:val="0"/>
              <w:widowControl/>
              <w:suppressLineNumbers w:val="0"/>
              <w:ind w:left="0" w:leftChars="0"/>
              <w:jc w:val="left"/>
            </w:pPr>
            <w:r>
              <w:rPr>
                <w:rFonts w:ascii="宋体" w:hAnsi="宋体" w:eastAsia="宋体" w:cs="宋体"/>
                <w:kern w:val="0"/>
                <w:sz w:val="24"/>
                <w:szCs w:val="24"/>
                <w:lang w:val="en-US" w:eastAsia="zh-CN" w:bidi="ar"/>
              </w:rPr>
              <w:t>Up to 200kW</w:t>
            </w:r>
          </w:p>
        </w:tc>
      </w:tr>
      <w:tr w14:paraId="278184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color="auto" w:fill="auto"/>
            <w:vAlign w:val="center"/>
          </w:tcPr>
          <w:p w14:paraId="2867BD2C">
            <w:pPr>
              <w:keepNext w:val="0"/>
              <w:keepLines w:val="0"/>
              <w:widowControl/>
              <w:suppressLineNumbers w:val="0"/>
              <w:ind w:left="0" w:leftChars="0"/>
              <w:jc w:val="left"/>
            </w:pPr>
            <w:r>
              <w:rPr>
                <w:rFonts w:ascii="宋体" w:hAnsi="宋体" w:eastAsia="宋体" w:cs="宋体"/>
                <w:kern w:val="0"/>
                <w:sz w:val="24"/>
                <w:szCs w:val="24"/>
                <w:lang w:val="en-US" w:eastAsia="zh-CN" w:bidi="ar"/>
              </w:rPr>
              <w:t>Installation</w:t>
            </w:r>
          </w:p>
        </w:tc>
        <w:tc>
          <w:tcPr>
            <w:tcW w:w="0" w:type="auto"/>
            <w:shd w:val="clear" w:color="auto" w:fill="auto"/>
            <w:vAlign w:val="center"/>
          </w:tcPr>
          <w:p w14:paraId="6B9C674C">
            <w:pPr>
              <w:keepNext w:val="0"/>
              <w:keepLines w:val="0"/>
              <w:widowControl/>
              <w:suppressLineNumbers w:val="0"/>
              <w:ind w:left="0" w:leftChars="0"/>
              <w:jc w:val="left"/>
            </w:pPr>
            <w:r>
              <w:rPr>
                <w:rFonts w:ascii="宋体" w:hAnsi="宋体" w:eastAsia="宋体" w:cs="宋体"/>
                <w:kern w:val="0"/>
                <w:sz w:val="24"/>
                <w:szCs w:val="24"/>
                <w:lang w:val="en-US" w:eastAsia="zh-CN" w:bidi="ar"/>
              </w:rPr>
              <w:t>Horizontal/Vertical</w:t>
            </w:r>
          </w:p>
        </w:tc>
      </w:tr>
      <w:tr w14:paraId="558225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457204BC">
            <w:pPr>
              <w:keepNext w:val="0"/>
              <w:keepLines w:val="0"/>
              <w:widowControl/>
              <w:suppressLineNumbers w:val="0"/>
              <w:ind w:left="0" w:leftChars="0"/>
              <w:jc w:val="left"/>
            </w:pPr>
            <w:r>
              <w:rPr>
                <w:rFonts w:ascii="宋体" w:hAnsi="宋体" w:eastAsia="宋体" w:cs="宋体"/>
                <w:kern w:val="0"/>
                <w:sz w:val="24"/>
                <w:szCs w:val="24"/>
                <w:lang w:val="en-US" w:eastAsia="zh-CN" w:bidi="ar"/>
              </w:rPr>
              <w:t>Explosion Proof</w:t>
            </w:r>
          </w:p>
        </w:tc>
        <w:tc>
          <w:tcPr>
            <w:tcW w:w="0" w:type="auto"/>
            <w:shd w:val="clear" w:color="auto" w:fill="auto"/>
            <w:vAlign w:val="center"/>
          </w:tcPr>
          <w:p w14:paraId="6A5DEE1D">
            <w:pPr>
              <w:keepNext w:val="0"/>
              <w:keepLines w:val="0"/>
              <w:widowControl/>
              <w:suppressLineNumbers w:val="0"/>
              <w:ind w:left="0" w:leftChars="0"/>
              <w:jc w:val="left"/>
            </w:pPr>
            <w:r>
              <w:rPr>
                <w:rFonts w:ascii="宋体" w:hAnsi="宋体" w:eastAsia="宋体" w:cs="宋体"/>
                <w:kern w:val="0"/>
                <w:sz w:val="24"/>
                <w:szCs w:val="24"/>
                <w:lang w:val="en-US" w:eastAsia="zh-CN" w:bidi="ar"/>
              </w:rPr>
              <w:t>Ex d I Mb</w:t>
            </w:r>
          </w:p>
        </w:tc>
      </w:tr>
      <w:tr w14:paraId="1E7254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color="auto" w:fill="auto"/>
            <w:vAlign w:val="center"/>
          </w:tcPr>
          <w:p w14:paraId="1C562375">
            <w:pPr>
              <w:keepNext w:val="0"/>
              <w:keepLines w:val="0"/>
              <w:widowControl/>
              <w:suppressLineNumbers w:val="0"/>
              <w:ind w:left="0" w:leftChars="0"/>
              <w:jc w:val="left"/>
            </w:pPr>
            <w:r>
              <w:rPr>
                <w:rFonts w:ascii="宋体" w:hAnsi="宋体" w:eastAsia="宋体" w:cs="宋体"/>
                <w:kern w:val="0"/>
                <w:sz w:val="24"/>
                <w:szCs w:val="24"/>
                <w:lang w:val="en-US" w:eastAsia="zh-CN" w:bidi="ar"/>
              </w:rPr>
              <w:t>Protection Class</w:t>
            </w:r>
          </w:p>
        </w:tc>
        <w:tc>
          <w:tcPr>
            <w:tcW w:w="0" w:type="auto"/>
            <w:shd w:val="clear" w:color="auto" w:fill="auto"/>
            <w:vAlign w:val="center"/>
          </w:tcPr>
          <w:p w14:paraId="6DA16F7D">
            <w:pPr>
              <w:keepNext w:val="0"/>
              <w:keepLines w:val="0"/>
              <w:widowControl/>
              <w:suppressLineNumbers w:val="0"/>
              <w:ind w:left="0" w:leftChars="0"/>
              <w:jc w:val="left"/>
            </w:pPr>
            <w:r>
              <w:rPr>
                <w:rFonts w:ascii="宋体" w:hAnsi="宋体" w:eastAsia="宋体" w:cs="宋体"/>
                <w:kern w:val="0"/>
                <w:sz w:val="24"/>
                <w:szCs w:val="24"/>
                <w:lang w:val="en-US" w:eastAsia="zh-CN" w:bidi="ar"/>
              </w:rPr>
              <w:t>IP55</w:t>
            </w:r>
          </w:p>
        </w:tc>
      </w:tr>
    </w:tbl>
    <w:p w14:paraId="524EE2FF">
      <w:pPr>
        <w:pStyle w:val="2"/>
        <w:keepNext w:val="0"/>
        <w:keepLines w:val="0"/>
        <w:widowControl/>
        <w:suppressLineNumbers w:val="0"/>
        <w:ind w:left="0" w:leftChars="0" w:firstLine="482" w:firstLineChars="200"/>
      </w:pPr>
      <w:r>
        <w:rPr>
          <w:rStyle w:val="5"/>
        </w:rPr>
        <w:t>Production Process</w:t>
      </w:r>
      <w:r>
        <w:br w:type="textWrapping"/>
      </w:r>
      <w:r>
        <w:t>Core stamping → Assembly and lamination → Coil winding → High-power testing → Flameproof certification.</w:t>
      </w:r>
    </w:p>
    <w:p w14:paraId="2F668A36">
      <w:pPr>
        <w:pStyle w:val="2"/>
        <w:keepNext w:val="0"/>
        <w:keepLines w:val="0"/>
        <w:widowControl/>
        <w:suppressLineNumbers w:val="0"/>
        <w:ind w:left="0" w:leftChars="0" w:firstLine="482" w:firstLineChars="200"/>
      </w:pPr>
      <w:r>
        <w:rPr>
          <w:rStyle w:val="5"/>
        </w:rPr>
        <w:t>After-Sales Service</w:t>
      </w:r>
      <w:r>
        <w:br w:type="textWrapping"/>
      </w:r>
      <w:r>
        <w:t>On-site installation assistance, extended warranty options, and spare parts supply for continuous operations.</w:t>
      </w:r>
    </w:p>
    <w:p w14:paraId="63A1F5B9">
      <w:pPr>
        <w:pStyle w:val="2"/>
        <w:keepNext w:val="0"/>
        <w:keepLines w:val="0"/>
        <w:widowControl/>
        <w:suppressLineNumbers w:val="0"/>
        <w:ind w:left="0" w:leftChars="0" w:firstLine="482" w:firstLineChars="200"/>
      </w:pPr>
      <w:r>
        <w:rPr>
          <w:rStyle w:val="5"/>
        </w:rPr>
        <w:t>FAQ</w:t>
      </w:r>
      <w:r>
        <w:br w:type="textWrapping"/>
      </w:r>
      <w:r>
        <w:t>Q1: Is this motor suitable for 24/7 operation?</w:t>
      </w:r>
      <w:r>
        <w:br w:type="textWrapping"/>
      </w:r>
      <w:r>
        <w:t>A1: Yes, it is designed for continuous duty with minimal maintenance needs.</w:t>
      </w:r>
    </w:p>
    <w:p w14:paraId="6CD402A5">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6140CC2"/>
    <w:rsid w:val="66140C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2025-09-09T08:12:00Z</dcterms:created>
  <dc:creator>Administrator</dc:creator>
  <cp:lastModifiedBy>Administrator</cp:lastModifiedBy>
  <dcterms:modified xsi:type="dcterms:W3CDTF">2025-09-09T08:13:18Z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4EA2FBD10AC145DC860215560AE41F79_11</vt:lpwstr>
  </property>
  <property fmtid="{D5CDD505-2E9C-101B-9397-08002B2CF9AE}" pid="4" name="KSOTemplateDocerSaveRecord">
    <vt:lpwstr>eyJoZGlkIjoiNmY3OTg3MGU1YjYyMWRlZmZlZjVhM2QzYTNjNWNkYTkifQ==</vt:lpwstr>
  </property>
</Properties>
</file>