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DD917F">
      <w:pPr>
        <w:pStyle w:val="2"/>
        <w:keepNext w:val="0"/>
        <w:keepLines w:val="0"/>
        <w:widowControl/>
        <w:suppressLineNumbers w:val="0"/>
        <w:ind w:firstLine="482" w:firstLineChars="200"/>
      </w:pPr>
      <w:r>
        <w:rPr>
          <w:rStyle w:val="5"/>
        </w:rPr>
        <w:t>Introduction</w:t>
      </w:r>
      <w:r>
        <w:br w:type="textWrapping"/>
      </w:r>
      <w:r>
        <w:t>This high-performance motor core is specifically developed for industrial automation systems requiring precision and energy efficiency. Compatible with both DC and stepper motors, it features optional lamination layers to meet diverse torque and efficiency requirements.</w:t>
      </w:r>
    </w:p>
    <w:p w14:paraId="5CC93D1C">
      <w:pPr>
        <w:pStyle w:val="2"/>
        <w:keepNext w:val="0"/>
        <w:keepLines w:val="0"/>
        <w:widowControl/>
        <w:suppressLineNumbers w:val="0"/>
        <w:ind w:firstLine="482" w:firstLineChars="200"/>
      </w:pPr>
      <w:r>
        <w:rPr>
          <w:rStyle w:val="5"/>
        </w:rPr>
        <w:t>Applications</w:t>
      </w:r>
    </w:p>
    <w:p w14:paraId="55473D61">
      <w:pPr>
        <w:pStyle w:val="2"/>
        <w:keepNext w:val="0"/>
        <w:keepLines w:val="0"/>
        <w:widowControl/>
        <w:suppressLineNumbers w:val="0"/>
        <w:ind w:left="720" w:firstLine="480" w:firstLineChars="200"/>
      </w:pPr>
      <w:r>
        <w:t>Robotic arms and automated conveyors</w:t>
      </w:r>
    </w:p>
    <w:p w14:paraId="67AC0D42">
      <w:pPr>
        <w:pStyle w:val="2"/>
        <w:keepNext w:val="0"/>
        <w:keepLines w:val="0"/>
        <w:widowControl/>
        <w:suppressLineNumbers w:val="0"/>
        <w:ind w:left="720" w:firstLine="480" w:firstLineChars="200"/>
      </w:pPr>
      <w:r>
        <w:t>CNC machinery and precision motion platforms</w:t>
      </w:r>
    </w:p>
    <w:p w14:paraId="67A51734">
      <w:pPr>
        <w:pStyle w:val="2"/>
        <w:keepNext w:val="0"/>
        <w:keepLines w:val="0"/>
        <w:widowControl/>
        <w:suppressLineNumbers w:val="0"/>
        <w:ind w:left="720" w:firstLine="480" w:firstLineChars="200"/>
      </w:pPr>
      <w:r>
        <w:t>Packaging equipment and process control systems</w:t>
      </w:r>
    </w:p>
    <w:p w14:paraId="60B9CCB8">
      <w:pPr>
        <w:pStyle w:val="2"/>
        <w:keepNext w:val="0"/>
        <w:keepLines w:val="0"/>
        <w:widowControl/>
        <w:suppressLineNumbers w:val="0"/>
        <w:ind w:firstLine="482" w:firstLineChars="200"/>
      </w:pPr>
      <w:r>
        <w:rPr>
          <w:rStyle w:val="5"/>
        </w:rPr>
        <w:t>Key Advantages</w:t>
      </w:r>
    </w:p>
    <w:p w14:paraId="13D12ADD">
      <w:pPr>
        <w:pStyle w:val="2"/>
        <w:keepNext w:val="0"/>
        <w:keepLines w:val="0"/>
        <w:widowControl/>
        <w:suppressLineNumbers w:val="0"/>
        <w:ind w:left="720" w:firstLine="480" w:firstLineChars="200"/>
      </w:pPr>
      <w:r>
        <w:t>Supports DC and stepper motors for broad industrial flexibility.</w:t>
      </w:r>
    </w:p>
    <w:p w14:paraId="72FD25FE">
      <w:pPr>
        <w:pStyle w:val="2"/>
        <w:keepNext w:val="0"/>
        <w:keepLines w:val="0"/>
        <w:widowControl/>
        <w:suppressLineNumbers w:val="0"/>
        <w:ind w:left="720" w:firstLine="480" w:firstLineChars="200"/>
      </w:pPr>
      <w:r>
        <w:t>Optional lamination layers allow customization for torque and efficiency.</w:t>
      </w:r>
    </w:p>
    <w:p w14:paraId="755EBC35">
      <w:pPr>
        <w:pStyle w:val="2"/>
        <w:keepNext w:val="0"/>
        <w:keepLines w:val="0"/>
        <w:widowControl/>
        <w:suppressLineNumbers w:val="0"/>
        <w:ind w:left="720" w:firstLine="480" w:firstLineChars="200"/>
      </w:pPr>
      <w:r>
        <w:t>High magnetic permeability ensures strong magnetic flux and reduced iron loss.</w:t>
      </w:r>
    </w:p>
    <w:p w14:paraId="0EBB4EE7">
      <w:pPr>
        <w:pStyle w:val="2"/>
        <w:keepNext w:val="0"/>
        <w:keepLines w:val="0"/>
        <w:widowControl/>
        <w:suppressLineNumbers w:val="0"/>
        <w:ind w:left="720" w:firstLine="480" w:firstLineChars="200"/>
      </w:pPr>
      <w:r>
        <w:t>Robust design tolerates 24/7 heavy-duty operation.</w:t>
      </w:r>
    </w:p>
    <w:p w14:paraId="25760146">
      <w:pPr>
        <w:pStyle w:val="2"/>
        <w:keepNext w:val="0"/>
        <w:keepLines w:val="0"/>
        <w:widowControl/>
        <w:suppressLineNumbers w:val="0"/>
        <w:ind w:firstLine="482" w:firstLineChars="200"/>
      </w:pPr>
      <w:r>
        <w:rPr>
          <w:rStyle w:val="5"/>
        </w:rPr>
        <w:t>Specification Table</w:t>
      </w:r>
    </w:p>
    <w:tbl>
      <w:tblPr>
        <w:tblStyle w:val="3"/>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2715"/>
        <w:gridCol w:w="3795"/>
      </w:tblGrid>
      <w:tr w14:paraId="0086DA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Header/>
          <w:tblCellSpacing w:w="15" w:type="dxa"/>
        </w:trPr>
        <w:tc>
          <w:tcPr>
            <w:tcW w:w="0" w:type="auto"/>
            <w:shd w:val="clear" w:color="auto" w:fill="auto"/>
            <w:vAlign w:val="center"/>
          </w:tcPr>
          <w:p w14:paraId="434DBD28">
            <w:pPr>
              <w:keepNext w:val="0"/>
              <w:keepLines w:val="0"/>
              <w:widowControl/>
              <w:suppressLineNumbers w:val="0"/>
              <w:jc w:val="center"/>
              <w:rPr>
                <w:b/>
                <w:bCs/>
              </w:rPr>
            </w:pPr>
            <w:r>
              <w:rPr>
                <w:rFonts w:ascii="宋体" w:hAnsi="宋体" w:eastAsia="宋体" w:cs="宋体"/>
                <w:b/>
                <w:bCs/>
                <w:kern w:val="0"/>
                <w:sz w:val="24"/>
                <w:szCs w:val="24"/>
                <w:lang w:val="en-US" w:eastAsia="zh-CN" w:bidi="ar"/>
              </w:rPr>
              <w:t>Parameter</w:t>
            </w:r>
          </w:p>
        </w:tc>
        <w:tc>
          <w:tcPr>
            <w:tcW w:w="0" w:type="auto"/>
            <w:shd w:val="clear" w:color="auto" w:fill="auto"/>
            <w:vAlign w:val="center"/>
          </w:tcPr>
          <w:p w14:paraId="66CAC64D">
            <w:pPr>
              <w:keepNext w:val="0"/>
              <w:keepLines w:val="0"/>
              <w:widowControl/>
              <w:suppressLineNumbers w:val="0"/>
              <w:jc w:val="center"/>
              <w:rPr>
                <w:b/>
                <w:bCs/>
              </w:rPr>
            </w:pPr>
            <w:r>
              <w:rPr>
                <w:rFonts w:ascii="宋体" w:hAnsi="宋体" w:eastAsia="宋体" w:cs="宋体"/>
                <w:b/>
                <w:bCs/>
                <w:kern w:val="0"/>
                <w:sz w:val="24"/>
                <w:szCs w:val="24"/>
                <w:lang w:val="en-US" w:eastAsia="zh-CN" w:bidi="ar"/>
              </w:rPr>
              <w:t>Value</w:t>
            </w:r>
          </w:p>
        </w:tc>
      </w:tr>
      <w:tr w14:paraId="17781A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06841A1C">
            <w:pPr>
              <w:keepNext w:val="0"/>
              <w:keepLines w:val="0"/>
              <w:widowControl/>
              <w:suppressLineNumbers w:val="0"/>
              <w:jc w:val="left"/>
            </w:pPr>
            <w:r>
              <w:rPr>
                <w:rFonts w:ascii="宋体" w:hAnsi="宋体" w:eastAsia="宋体" w:cs="宋体"/>
                <w:kern w:val="0"/>
                <w:sz w:val="24"/>
                <w:szCs w:val="24"/>
                <w:lang w:val="en-US" w:eastAsia="zh-CN" w:bidi="ar"/>
              </w:rPr>
              <w:t>Material</w:t>
            </w:r>
          </w:p>
        </w:tc>
        <w:tc>
          <w:tcPr>
            <w:tcW w:w="0" w:type="auto"/>
            <w:shd w:val="clear" w:color="auto" w:fill="auto"/>
            <w:vAlign w:val="center"/>
          </w:tcPr>
          <w:p w14:paraId="5880E878">
            <w:pPr>
              <w:keepNext w:val="0"/>
              <w:keepLines w:val="0"/>
              <w:widowControl/>
              <w:suppressLineNumbers w:val="0"/>
              <w:jc w:val="left"/>
            </w:pPr>
            <w:r>
              <w:rPr>
                <w:rFonts w:ascii="宋体" w:hAnsi="宋体" w:eastAsia="宋体" w:cs="宋体"/>
                <w:kern w:val="0"/>
                <w:sz w:val="24"/>
                <w:szCs w:val="24"/>
                <w:lang w:val="en-US" w:eastAsia="zh-CN" w:bidi="ar"/>
              </w:rPr>
              <w:t>High-permeability silicon steel</w:t>
            </w:r>
          </w:p>
        </w:tc>
      </w:tr>
      <w:tr w14:paraId="06A42A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70136C4A">
            <w:pPr>
              <w:keepNext w:val="0"/>
              <w:keepLines w:val="0"/>
              <w:widowControl/>
              <w:suppressLineNumbers w:val="0"/>
              <w:jc w:val="left"/>
            </w:pPr>
            <w:r>
              <w:rPr>
                <w:rFonts w:ascii="宋体" w:hAnsi="宋体" w:eastAsia="宋体" w:cs="宋体"/>
                <w:kern w:val="0"/>
                <w:sz w:val="24"/>
                <w:szCs w:val="24"/>
                <w:lang w:val="en-US" w:eastAsia="zh-CN" w:bidi="ar"/>
              </w:rPr>
              <w:t>Core Thickness</w:t>
            </w:r>
          </w:p>
        </w:tc>
        <w:tc>
          <w:tcPr>
            <w:tcW w:w="0" w:type="auto"/>
            <w:shd w:val="clear" w:color="auto" w:fill="auto"/>
            <w:vAlign w:val="center"/>
          </w:tcPr>
          <w:p w14:paraId="38F02FBC">
            <w:pPr>
              <w:keepNext w:val="0"/>
              <w:keepLines w:val="0"/>
              <w:widowControl/>
              <w:suppressLineNumbers w:val="0"/>
              <w:jc w:val="left"/>
            </w:pPr>
            <w:r>
              <w:rPr>
                <w:rFonts w:ascii="宋体" w:hAnsi="宋体" w:eastAsia="宋体" w:cs="宋体"/>
                <w:kern w:val="0"/>
                <w:sz w:val="24"/>
                <w:szCs w:val="24"/>
                <w:lang w:val="en-US" w:eastAsia="zh-CN" w:bidi="ar"/>
              </w:rPr>
              <w:t>0.35–0.5 mm</w:t>
            </w:r>
          </w:p>
        </w:tc>
      </w:tr>
      <w:tr w14:paraId="2D45A7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20F3568A">
            <w:pPr>
              <w:keepNext w:val="0"/>
              <w:keepLines w:val="0"/>
              <w:widowControl/>
              <w:suppressLineNumbers w:val="0"/>
              <w:jc w:val="left"/>
            </w:pPr>
            <w:r>
              <w:rPr>
                <w:rFonts w:ascii="宋体" w:hAnsi="宋体" w:eastAsia="宋体" w:cs="宋体"/>
                <w:kern w:val="0"/>
                <w:sz w:val="24"/>
                <w:szCs w:val="24"/>
                <w:lang w:val="en-US" w:eastAsia="zh-CN" w:bidi="ar"/>
              </w:rPr>
              <w:t>Lamination Layers</w:t>
            </w:r>
          </w:p>
        </w:tc>
        <w:tc>
          <w:tcPr>
            <w:tcW w:w="0" w:type="auto"/>
            <w:shd w:val="clear" w:color="auto" w:fill="auto"/>
            <w:vAlign w:val="center"/>
          </w:tcPr>
          <w:p w14:paraId="18413081">
            <w:pPr>
              <w:keepNext w:val="0"/>
              <w:keepLines w:val="0"/>
              <w:widowControl/>
              <w:suppressLineNumbers w:val="0"/>
              <w:jc w:val="left"/>
            </w:pPr>
            <w:r>
              <w:rPr>
                <w:rFonts w:ascii="宋体" w:hAnsi="宋体" w:eastAsia="宋体" w:cs="宋体"/>
                <w:kern w:val="0"/>
                <w:sz w:val="24"/>
                <w:szCs w:val="24"/>
                <w:lang w:val="en-US" w:eastAsia="zh-CN" w:bidi="ar"/>
              </w:rPr>
              <w:t>50–200 (customizable)</w:t>
            </w:r>
          </w:p>
        </w:tc>
      </w:tr>
      <w:tr w14:paraId="42CBD2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71FEB880">
            <w:pPr>
              <w:keepNext w:val="0"/>
              <w:keepLines w:val="0"/>
              <w:widowControl/>
              <w:suppressLineNumbers w:val="0"/>
              <w:jc w:val="left"/>
            </w:pPr>
            <w:r>
              <w:rPr>
                <w:rFonts w:ascii="宋体" w:hAnsi="宋体" w:eastAsia="宋体" w:cs="宋体"/>
                <w:kern w:val="0"/>
                <w:sz w:val="24"/>
                <w:szCs w:val="24"/>
                <w:lang w:val="en-US" w:eastAsia="zh-CN" w:bidi="ar"/>
              </w:rPr>
              <w:t>Magnetic Permeability</w:t>
            </w:r>
          </w:p>
        </w:tc>
        <w:tc>
          <w:tcPr>
            <w:tcW w:w="0" w:type="auto"/>
            <w:shd w:val="clear" w:color="auto" w:fill="auto"/>
            <w:vAlign w:val="center"/>
          </w:tcPr>
          <w:p w14:paraId="4E6C48BE">
            <w:pPr>
              <w:keepNext w:val="0"/>
              <w:keepLines w:val="0"/>
              <w:widowControl/>
              <w:suppressLineNumbers w:val="0"/>
              <w:jc w:val="left"/>
            </w:pPr>
            <w:r>
              <w:rPr>
                <w:rFonts w:ascii="宋体" w:hAnsi="宋体" w:eastAsia="宋体" w:cs="宋体"/>
                <w:kern w:val="0"/>
                <w:sz w:val="24"/>
                <w:szCs w:val="24"/>
                <w:lang w:val="en-US" w:eastAsia="zh-CN" w:bidi="ar"/>
              </w:rPr>
              <w:t>15,000–20,000 H/m</w:t>
            </w:r>
          </w:p>
        </w:tc>
      </w:tr>
      <w:tr w14:paraId="1BCB82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2F945760">
            <w:pPr>
              <w:keepNext w:val="0"/>
              <w:keepLines w:val="0"/>
              <w:widowControl/>
              <w:suppressLineNumbers w:val="0"/>
              <w:jc w:val="left"/>
            </w:pPr>
            <w:r>
              <w:rPr>
                <w:rFonts w:ascii="宋体" w:hAnsi="宋体" w:eastAsia="宋体" w:cs="宋体"/>
                <w:kern w:val="0"/>
                <w:sz w:val="24"/>
                <w:szCs w:val="24"/>
                <w:lang w:val="en-US" w:eastAsia="zh-CN" w:bidi="ar"/>
              </w:rPr>
              <w:t>Operating Temperature</w:t>
            </w:r>
          </w:p>
        </w:tc>
        <w:tc>
          <w:tcPr>
            <w:tcW w:w="0" w:type="auto"/>
            <w:shd w:val="clear" w:color="auto" w:fill="auto"/>
            <w:vAlign w:val="center"/>
          </w:tcPr>
          <w:p w14:paraId="6048EECA">
            <w:pPr>
              <w:keepNext w:val="0"/>
              <w:keepLines w:val="0"/>
              <w:widowControl/>
              <w:suppressLineNumbers w:val="0"/>
              <w:jc w:val="left"/>
            </w:pPr>
            <w:r>
              <w:rPr>
                <w:rFonts w:ascii="宋体" w:hAnsi="宋体" w:eastAsia="宋体" w:cs="宋体"/>
                <w:kern w:val="0"/>
                <w:sz w:val="24"/>
                <w:szCs w:val="24"/>
                <w:lang w:val="en-US" w:eastAsia="zh-CN" w:bidi="ar"/>
              </w:rPr>
              <w:t>–20 °C to 120 °C</w:t>
            </w:r>
          </w:p>
        </w:tc>
      </w:tr>
      <w:tr w14:paraId="08F5E8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CellSpacing w:w="15" w:type="dxa"/>
        </w:trPr>
        <w:tc>
          <w:tcPr>
            <w:tcW w:w="0" w:type="auto"/>
            <w:shd w:val="clear" w:color="auto" w:fill="auto"/>
            <w:vAlign w:val="center"/>
          </w:tcPr>
          <w:p w14:paraId="6581403C">
            <w:pPr>
              <w:keepNext w:val="0"/>
              <w:keepLines w:val="0"/>
              <w:widowControl/>
              <w:suppressLineNumbers w:val="0"/>
              <w:jc w:val="left"/>
            </w:pPr>
            <w:r>
              <w:rPr>
                <w:rFonts w:ascii="宋体" w:hAnsi="宋体" w:eastAsia="宋体" w:cs="宋体"/>
                <w:kern w:val="0"/>
                <w:sz w:val="24"/>
                <w:szCs w:val="24"/>
                <w:lang w:val="en-US" w:eastAsia="zh-CN" w:bidi="ar"/>
              </w:rPr>
              <w:t>Applicable Motor Types</w:t>
            </w:r>
          </w:p>
        </w:tc>
        <w:tc>
          <w:tcPr>
            <w:tcW w:w="0" w:type="auto"/>
            <w:shd w:val="clear" w:color="auto" w:fill="auto"/>
            <w:vAlign w:val="center"/>
          </w:tcPr>
          <w:p w14:paraId="606E8817">
            <w:pPr>
              <w:keepNext w:val="0"/>
              <w:keepLines w:val="0"/>
              <w:widowControl/>
              <w:suppressLineNumbers w:val="0"/>
              <w:jc w:val="left"/>
            </w:pPr>
            <w:r>
              <w:rPr>
                <w:rFonts w:ascii="宋体" w:hAnsi="宋体" w:eastAsia="宋体" w:cs="宋体"/>
                <w:kern w:val="0"/>
                <w:sz w:val="24"/>
                <w:szCs w:val="24"/>
                <w:lang w:val="en-US" w:eastAsia="zh-CN" w:bidi="ar"/>
              </w:rPr>
              <w:t>DC motor, stepper motor</w:t>
            </w:r>
          </w:p>
        </w:tc>
      </w:tr>
    </w:tbl>
    <w:p w14:paraId="1845E1AF">
      <w:pPr>
        <w:pStyle w:val="2"/>
        <w:keepNext w:val="0"/>
        <w:keepLines w:val="0"/>
        <w:widowControl/>
        <w:suppressLineNumbers w:val="0"/>
        <w:ind w:firstLine="482" w:firstLineChars="200"/>
      </w:pPr>
      <w:r>
        <w:rPr>
          <w:rStyle w:val="5"/>
        </w:rPr>
        <w:t>Production Process</w:t>
      </w:r>
      <w:r>
        <w:br w:type="textWrapping"/>
      </w:r>
      <w:r>
        <w:t>High-grade silicon steel selection → Precision stamping and lamination → Coil winding → Insulation coating → Final magnetic and electrical testing.</w:t>
      </w:r>
    </w:p>
    <w:p w14:paraId="44D67FA2">
      <w:pPr>
        <w:pStyle w:val="2"/>
        <w:keepNext w:val="0"/>
        <w:keepLines w:val="0"/>
        <w:widowControl/>
        <w:suppressLineNumbers w:val="0"/>
        <w:ind w:firstLine="482" w:firstLineChars="200"/>
      </w:pPr>
      <w:r>
        <w:rPr>
          <w:rStyle w:val="5"/>
        </w:rPr>
        <w:t>After-Sales Service</w:t>
      </w:r>
      <w:r>
        <w:br w:type="textWrapping"/>
      </w:r>
      <w:r>
        <w:t>One-year warranty, remote technical assistance, and rapid spare-parts delivery for global industrial automation clients.</w:t>
      </w:r>
    </w:p>
    <w:p w14:paraId="57B8BB85">
      <w:pPr>
        <w:pStyle w:val="2"/>
        <w:keepNext w:val="0"/>
        <w:keepLines w:val="0"/>
        <w:widowControl/>
        <w:suppressLineNumbers w:val="0"/>
        <w:ind w:firstLine="482" w:firstLineChars="200"/>
      </w:pPr>
      <w:r>
        <w:rPr>
          <w:rStyle w:val="5"/>
        </w:rPr>
        <w:t>FAQ</w:t>
      </w:r>
      <w:r>
        <w:br w:type="textWrapping"/>
      </w:r>
      <w:r>
        <w:t>Q1: Can lamination layers be customized for different torque needs?</w:t>
      </w:r>
      <w:r>
        <w:br w:type="textWrapping"/>
      </w:r>
      <w:r>
        <w:t>A1: Yes, we can tailor lamination count and thickness for specific industrial requirements.</w:t>
      </w:r>
    </w:p>
    <w:p w14:paraId="7027B23D">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1E0277"/>
    <w:rsid w:val="491E02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2025-09-12T06:27:00Z</dcterms:created>
  <dc:creator>Administrator</dc:creator>
  <cp:lastModifiedBy>Administrator</cp:lastModifiedBy>
  <dcterms:modified xsi:type="dcterms:W3CDTF">2025-09-12T06:27:42Z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C7D18F88038049E484119B044FE6B239_11</vt:lpwstr>
  </property>
  <property fmtid="{D5CDD505-2E9C-101B-9397-08002B2CF9AE}" pid="4" name="KSOTemplateDocerSaveRecord">
    <vt:lpwstr>eyJoZGlkIjoiNmY3OTg3MGU1YjYyMWRlZmZlZjVhM2QzYTNjNWNkYTkifQ==</vt:lpwstr>
  </property>
</Properties>
</file>